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Georgia" w:cs="Georgia" w:eastAsia="Georgia" w:hAnsi="Georgia"/>
          <w:b/>
          <w:bCs/>
          <w:color w:val="1F1B16"/>
          <w:sz w:val="52"/>
          <w:szCs w:val="52"/>
        </w:rPr>
        <w:t xml:space="preserve">Intuition Is the Technology</w:t>
      </w:r>
    </w:p>
    <w:p>
      <w:pPr>
        <w:spacing w:after="60"/>
      </w:pPr>
      <w:r>
        <w:rPr>
          <w:rFonts w:ascii="EB Garamond" w:cs="EB Garamond" w:eastAsia="EB Garamond" w:hAnsi="EB Garamond"/>
          <w:i/>
          <w:iCs/>
          <w:color w:val="5F5651"/>
          <w:sz w:val="30"/>
          <w:szCs w:val="30"/>
        </w:rPr>
        <w:t xml:space="preserve">Slide-by-slide companion — Astrological Association Conference 2026</w:t>
      </w:r>
    </w:p>
    <w:p>
      <w:pPr>
        <w:spacing w:after="60"/>
      </w:pPr>
      <w:r>
        <w:rPr>
          <w:rFonts w:ascii="EB Garamond" w:cs="EB Garamond" w:eastAsia="EB Garamond" w:hAnsi="EB Garamond"/>
          <w:color w:val="5F5651"/>
          <w:sz w:val="24"/>
          <w:szCs w:val="24"/>
        </w:rPr>
        <w:t xml:space="preserve">Masen Clark Gaspervic, D.O.</w:t>
      </w:r>
    </w:p>
    <w:p>
      <w:pPr>
        <w:spacing w:after="160"/>
      </w:pPr>
      <w:r>
        <w:rPr>
          <w:rFonts w:ascii="EB Garamond" w:cs="EB Garamond" w:eastAsia="EB Garamond" w:hAnsi="EB Garamond"/>
          <w:color w:val="5F5651"/>
          <w:sz w:val="22"/>
          <w:szCs w:val="22"/>
        </w:rPr>
        <w:t xml:space="preserve">Astrological Association Conference 2026, Sunday 20 September, 12:00–13:00.</w:t>
      </w:r>
    </w:p>
    <w:p>
      <w:pPr>
        <w:shd w:fill="EFE4DD" w:color="EFE4DD" w:val="clear"/>
        <w:spacing w:after="240"/>
      </w:pPr>
      <w:r>
        <w:rPr>
          <w:rFonts w:ascii="EB Garamond" w:cs="EB Garamond" w:eastAsia="EB Garamond" w:hAnsi="EB Garamond"/>
          <w:b/>
          <w:bCs/>
          <w:color w:val="1F1B16"/>
          <w:sz w:val="22"/>
          <w:szCs w:val="22"/>
        </w:rPr>
        <w:t xml:space="preserve">Epistemic tiers. </w:t>
      </w:r>
      <w:r>
        <w:rPr>
          <w:rFonts w:ascii="Georgia" w:cs="Georgia" w:eastAsia="Georgia" w:hAnsi="Georgia"/>
          <w:b/>
          <w:bCs/>
          <w:color w:val="FFFFFF"/>
          <w:sz w:val="14"/>
          <w:szCs w:val="14"/>
          <w:shd w:fill="3E6B3A" w:color="3E6B3A" w:val="clear"/>
        </w:rPr>
        <w:t xml:space="preserve"> ACCEPTED </w:t>
      </w:r>
      <w:r>
        <w:rPr>
          <w:rFonts w:ascii="EB Garamond" w:cs="EB Garamond" w:eastAsia="EB Garamond" w:hAnsi="EB Garamond"/>
          <w:b w:val="false"/>
          <w:bCs w:val="false"/>
          <w:color w:val="1F1B16"/>
          <w:sz w:val="22"/>
          <w:szCs w:val="22"/>
        </w:rPr>
        <w:t xml:space="preserve"> settled scholarship or physiology · </w:t>
      </w:r>
      <w:r>
        <w:rPr>
          <w:rFonts w:ascii="Georgia" w:cs="Georgia" w:eastAsia="Georgia" w:hAnsi="Georgia"/>
          <w:b/>
          <w:bCs/>
          <w:color w:val="FFFFFF"/>
          <w:sz w:val="14"/>
          <w:szCs w:val="14"/>
          <w:shd w:fill="8B6914" w:color="8B6914" w:val="clear"/>
        </w:rPr>
        <w:t xml:space="preserve"> FRONTIER </w:t>
      </w:r>
      <w:r>
        <w:rPr>
          <w:rFonts w:ascii="EB Garamond" w:cs="EB Garamond" w:eastAsia="EB Garamond" w:hAnsi="EB Garamond"/>
          <w:b w:val="false"/>
          <w:bCs w:val="false"/>
          <w:color w:val="1F1B16"/>
          <w:sz w:val="22"/>
          <w:szCs w:val="22"/>
        </w:rPr>
        <w:t xml:space="preserve"> active research, plausible, not settled · </w:t>
      </w:r>
      <w:r>
        <w:rPr>
          <w:rFonts w:ascii="Georgia" w:cs="Georgia" w:eastAsia="Georgia" w:hAnsi="Georgia"/>
          <w:b/>
          <w:bCs/>
          <w:color w:val="FFFFFF"/>
          <w:sz w:val="14"/>
          <w:szCs w:val="14"/>
          <w:shd w:fill="6E2424" w:color="6E2424" w:val="clear"/>
        </w:rPr>
        <w:t xml:space="preserve"> SPECULATIVE </w:t>
      </w:r>
      <w:r>
        <w:rPr>
          <w:rFonts w:ascii="EB Garamond" w:cs="EB Garamond" w:eastAsia="EB Garamond" w:hAnsi="EB Garamond"/>
          <w:b w:val="false"/>
          <w:bCs w:val="false"/>
          <w:color w:val="1F1B16"/>
          <w:sz w:val="22"/>
          <w:szCs w:val="22"/>
        </w:rPr>
        <w:t xml:space="preserve"> author's conjecture or mapping · </w:t>
      </w:r>
      <w:r>
        <w:rPr>
          <w:rFonts w:ascii="Georgia" w:cs="Georgia" w:eastAsia="Georgia" w:hAnsi="Georgia"/>
          <w:b/>
          <w:bCs/>
          <w:color w:val="FFFFFF"/>
          <w:sz w:val="14"/>
          <w:szCs w:val="14"/>
          <w:shd w:fill="6D2E46" w:color="6D2E46" w:val="clear"/>
        </w:rPr>
        <w:t xml:space="preserve"> SYMBOLIC </w:t>
      </w:r>
      <w:r>
        <w:rPr>
          <w:rFonts w:ascii="EB Garamond" w:cs="EB Garamond" w:eastAsia="EB Garamond" w:hAnsi="EB Garamond"/>
          <w:b w:val="false"/>
          <w:bCs w:val="false"/>
          <w:color w:val="1F1B16"/>
          <w:sz w:val="22"/>
          <w:szCs w:val="22"/>
        </w:rPr>
        <w:t xml:space="preserve"> astrological/humoral register — not causal evidence · </w:t>
      </w:r>
      <w:r>
        <w:rPr>
          <w:rFonts w:ascii="Georgia" w:cs="Georgia" w:eastAsia="Georgia" w:hAnsi="Georgia"/>
          <w:b/>
          <w:bCs/>
          <w:color w:val="FFFFFF"/>
          <w:sz w:val="14"/>
          <w:szCs w:val="14"/>
          <w:shd w:fill="5F5651" w:color="5F5651" w:val="clear"/>
        </w:rPr>
        <w:t xml:space="preserve"> N/A </w:t>
      </w:r>
      <w:r>
        <w:rPr>
          <w:rFonts w:ascii="EB Garamond" w:cs="EB Garamond" w:eastAsia="EB Garamond" w:hAnsi="EB Garamond"/>
          <w:b w:val="false"/>
          <w:bCs w:val="false"/>
          <w:color w:val="1F1B16"/>
          <w:sz w:val="22"/>
          <w:szCs w:val="22"/>
        </w:rPr>
        <w:t xml:space="preserve"> housekeeping. Citations are inline [n]; the numbered list is at the end.</w:t>
      </w:r>
    </w:p>
    <w:p>
      <w:pPr>
        <w:pStyle w:val="Heading1"/>
        <w:pBdr>
          <w:bottom w:val="single" w:color="B85042" w:sz="12" w:space="4"/>
        </w:pBdr>
        <w:spacing w:after="160" w:before="360"/>
      </w:pPr>
      <w:r>
        <w:rPr>
          <w:rFonts w:ascii="Georgia" w:cs="Georgia" w:eastAsia="Georgia" w:hAnsi="Georgia"/>
          <w:b/>
          <w:bCs/>
          <w:color w:val="1F1B16"/>
          <w:sz w:val="32"/>
          <w:szCs w:val="32"/>
        </w:rPr>
        <w:t xml:space="preserve">Opening</w:t>
      </w:r>
    </w:p>
    <w:p>
      <w:pPr>
        <w:keepNext/>
        <w:spacing w:after="60" w:before="200"/>
      </w:pPr>
      <w:r>
        <w:rPr>
          <w:rFonts w:ascii="Georgia" w:cs="Georgia" w:eastAsia="Georgia" w:hAnsi="Georgia"/>
          <w:b/>
          <w:bCs/>
          <w:color w:val="B85042"/>
          <w:sz w:val="24"/>
          <w:szCs w:val="24"/>
        </w:rPr>
        <w:t xml:space="preserve">1  </w:t>
      </w:r>
      <w:r>
        <w:rPr>
          <w:rFonts w:ascii="Georgia" w:cs="Georgia" w:eastAsia="Georgia" w:hAnsi="Georgia"/>
          <w:b/>
          <w:bCs/>
          <w:i w:val="false"/>
          <w:iCs w:val="false"/>
          <w:color w:val="1F1B16"/>
          <w:sz w:val="24"/>
          <w:szCs w:val="24"/>
        </w:rPr>
        <w:t xml:space="preserve">Intuition Is the Technology (title)</w:t>
      </w:r>
      <w:r>
        <w:t xml:space="preserve">   </w:t>
      </w:r>
      <w:r>
        <w:rPr>
          <w:rFonts w:ascii="Georgia" w:cs="Georgia" w:eastAsia="Georgia" w:hAnsi="Georgia"/>
          <w:b/>
          <w:bCs/>
          <w:color w:val="FFFFFF"/>
          <w:sz w:val="14"/>
          <w:szCs w:val="14"/>
          <w:shd w:fill="5F5651" w:color="5F5651" w:val="clear"/>
        </w:rPr>
        <w:t xml:space="preserve"> N/A </w:t>
      </w:r>
    </w:p>
    <w:p>
      <w:pPr>
        <w:spacing w:after="80"/>
        <w:jc w:val="both"/>
      </w:pPr>
      <w:r>
        <w:rPr>
          <w:rFonts w:ascii="EB Garamond" w:cs="EB Garamond" w:eastAsia="EB Garamond" w:hAnsi="EB Garamond"/>
          <w:i w:val="false"/>
          <w:iCs w:val="false"/>
          <w:color w:val="1F1B16"/>
          <w:sz w:val="22"/>
          <w:szCs w:val="22"/>
        </w:rPr>
        <w:t xml:space="preserve">Title slide for the Astrological Association 2026 Conference talk. The thesis in one line: intuition is not a soft alternative to technology; it is a technology — a five-hundred-million-year-old one — and astrology is a method for running it.</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[1]</w:t>
      </w:r>
    </w:p>
    <w:p>
      <w:pPr>
        <w:keepNext/>
        <w:spacing w:after="60" w:before="200"/>
      </w:pPr>
      <w:r>
        <w:rPr>
          <w:rFonts w:ascii="Georgia" w:cs="Georgia" w:eastAsia="Georgia" w:hAnsi="Georgia"/>
          <w:b/>
          <w:bCs/>
          <w:color w:val="B85042"/>
          <w:sz w:val="24"/>
          <w:szCs w:val="24"/>
        </w:rPr>
        <w:t xml:space="preserve">2  </w:t>
      </w:r>
      <w:r>
        <w:rPr>
          <w:rFonts w:ascii="Georgia" w:cs="Georgia" w:eastAsia="Georgia" w:hAnsi="Georgia"/>
          <w:b/>
          <w:bCs/>
          <w:i w:val="false"/>
          <w:iCs w:val="false"/>
          <w:color w:val="1F1B16"/>
          <w:sz w:val="24"/>
          <w:szCs w:val="24"/>
        </w:rPr>
        <w:t xml:space="preserve">About Me</w:t>
      </w:r>
      <w:r>
        <w:t xml:space="preserve">   </w:t>
      </w:r>
      <w:r>
        <w:rPr>
          <w:rFonts w:ascii="Georgia" w:cs="Georgia" w:eastAsia="Georgia" w:hAnsi="Georgia"/>
          <w:b/>
          <w:bCs/>
          <w:color w:val="FFFFFF"/>
          <w:sz w:val="14"/>
          <w:szCs w:val="14"/>
          <w:shd w:fill="5F5651" w:color="5F5651" w:val="clear"/>
        </w:rPr>
        <w:t xml:space="preserve"> N/A </w:t>
      </w:r>
    </w:p>
    <w:p>
      <w:pPr>
        <w:spacing w:after="80"/>
        <w:jc w:val="both"/>
      </w:pPr>
      <w:r>
        <w:rPr>
          <w:rFonts w:ascii="EB Garamond" w:cs="EB Garamond" w:eastAsia="EB Garamond" w:hAnsi="EB Garamond"/>
          <w:i w:val="false"/>
          <w:iCs w:val="false"/>
          <w:color w:val="1F1B16"/>
          <w:sz w:val="22"/>
          <w:szCs w:val="22"/>
        </w:rPr>
        <w:t xml:space="preserve">Personal introduction: family, the Rhode Island neurology office, jiu-jitsu, hiking. The notes carry the origin story — reading Sun-sign descriptions for the family fourteen years ago, then a chart reading, then a turn toward medical astrology, temperaments, and humors used in clinical consultation.</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[1]</w:t>
      </w:r>
    </w:p>
    <w:p>
      <w:pPr>
        <w:keepNext/>
        <w:spacing w:after="60" w:before="200"/>
      </w:pPr>
      <w:r>
        <w:rPr>
          <w:rFonts w:ascii="Georgia" w:cs="Georgia" w:eastAsia="Georgia" w:hAnsi="Georgia"/>
          <w:b/>
          <w:bCs/>
          <w:color w:val="B85042"/>
          <w:sz w:val="24"/>
          <w:szCs w:val="24"/>
        </w:rPr>
        <w:t xml:space="preserve">3  </w:t>
      </w:r>
      <w:r>
        <w:rPr>
          <w:rFonts w:ascii="Georgia" w:cs="Georgia" w:eastAsia="Georgia" w:hAnsi="Georgia"/>
          <w:b/>
          <w:bCs/>
          <w:i w:val="false"/>
          <w:iCs w:val="false"/>
          <w:color w:val="1F1B16"/>
          <w:sz w:val="24"/>
          <w:szCs w:val="24"/>
        </w:rPr>
        <w:t xml:space="preserve">3 Main Ideas for This Talk</w:t>
      </w:r>
      <w:r>
        <w:t xml:space="preserve">   </w:t>
      </w:r>
      <w:r>
        <w:rPr>
          <w:rFonts w:ascii="Georgia" w:cs="Georgia" w:eastAsia="Georgia" w:hAnsi="Georgia"/>
          <w:b/>
          <w:bCs/>
          <w:color w:val="FFFFFF"/>
          <w:sz w:val="14"/>
          <w:szCs w:val="14"/>
          <w:shd w:fill="5F5651" w:color="5F5651" w:val="clear"/>
        </w:rPr>
        <w:t xml:space="preserve"> MIXED </w:t>
      </w:r>
    </w:p>
    <w:p>
      <w:pPr>
        <w:spacing w:after="80"/>
        <w:jc w:val="both"/>
      </w:pPr>
      <w:r>
        <w:rPr>
          <w:rFonts w:ascii="EB Garamond" w:cs="EB Garamond" w:eastAsia="EB Garamond" w:hAnsi="EB Garamond"/>
          <w:i w:val="false"/>
          <w:iCs w:val="false"/>
          <w:color w:val="1F1B16"/>
          <w:sz w:val="22"/>
          <w:szCs w:val="22"/>
        </w:rPr>
        <w:t xml:space="preserve">The three take-home claims: (1) intuition emerges from right-hemisphere processing; (2) large language models are a left-hemisphere-style function — sequence and logic with no lived experience; (3) astrology engages both modes and therefore gives grounds for hope. The notes add the framing image: the brain as a store of every experience, a 'supercomputer' that the ancients may have known how to query better than we do. Claim 1 is ACCEPTED in its weak form (holistic/global processing is right-lateralized) and FRONTIER in its strong form; claim 2 is an argument, not a measurement; claim 3 is the talk's SPECULATIVE proposal.</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[2] [3] [4]</w:t>
      </w:r>
    </w:p>
    <w:p>
      <w:pPr>
        <w:pStyle w:val="Heading1"/>
        <w:pBdr>
          <w:bottom w:val="single" w:color="B85042" w:sz="12" w:space="4"/>
        </w:pBdr>
        <w:spacing w:after="160" w:before="360"/>
      </w:pPr>
      <w:r>
        <w:rPr>
          <w:rFonts w:ascii="Georgia" w:cs="Georgia" w:eastAsia="Georgia" w:hAnsi="Georgia"/>
          <w:b/>
          <w:bCs/>
          <w:color w:val="1F1B16"/>
          <w:sz w:val="32"/>
          <w:szCs w:val="32"/>
        </w:rPr>
        <w:t xml:space="preserve">Chapter 1 — What Is Intuition?</w:t>
      </w:r>
    </w:p>
    <w:p>
      <w:pPr>
        <w:keepNext/>
        <w:spacing w:after="60" w:before="200"/>
      </w:pPr>
      <w:r>
        <w:rPr>
          <w:rFonts w:ascii="Georgia" w:cs="Georgia" w:eastAsia="Georgia" w:hAnsi="Georgia"/>
          <w:b/>
          <w:bCs/>
          <w:color w:val="B85042"/>
          <w:sz w:val="24"/>
          <w:szCs w:val="24"/>
        </w:rPr>
        <w:t xml:space="preserve">4  </w:t>
      </w:r>
      <w:r>
        <w:rPr>
          <w:rFonts w:ascii="Georgia" w:cs="Georgia" w:eastAsia="Georgia" w:hAnsi="Georgia"/>
          <w:b/>
          <w:bCs/>
          <w:i w:val="false"/>
          <w:iCs w:val="false"/>
          <w:color w:val="1F1B16"/>
          <w:sz w:val="24"/>
          <w:szCs w:val="24"/>
        </w:rPr>
        <w:t xml:space="preserve">Chapter 01: What is Intuition?</w:t>
      </w:r>
      <w:r>
        <w:t xml:space="preserve">   </w:t>
      </w:r>
      <w:r>
        <w:rPr>
          <w:rFonts w:ascii="Georgia" w:cs="Georgia" w:eastAsia="Georgia" w:hAnsi="Georgia"/>
          <w:b/>
          <w:bCs/>
          <w:color w:val="FFFFFF"/>
          <w:sz w:val="14"/>
          <w:szCs w:val="14"/>
          <w:shd w:fill="5F5651" w:color="5F5651" w:val="clear"/>
        </w:rPr>
        <w:t xml:space="preserve"> N/A </w:t>
      </w:r>
    </w:p>
    <w:p>
      <w:pPr>
        <w:spacing w:after="80"/>
        <w:jc w:val="both"/>
      </w:pPr>
      <w:r>
        <w:rPr>
          <w:rFonts w:ascii="EB Garamond" w:cs="EB Garamond" w:eastAsia="EB Garamond" w:hAnsi="EB Garamond"/>
          <w:i w:val="false"/>
          <w:iCs w:val="false"/>
          <w:color w:val="1F1B16"/>
          <w:sz w:val="22"/>
          <w:szCs w:val="22"/>
        </w:rPr>
        <w:t xml:space="preserve">Chapter divider. Announces six chapters and poses the question that Chapter 1 answers: what exactly is intuition?</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[1]</w:t>
      </w:r>
    </w:p>
    <w:p>
      <w:pPr>
        <w:keepNext/>
        <w:spacing w:after="60" w:before="200"/>
      </w:pPr>
      <w:r>
        <w:rPr>
          <w:rFonts w:ascii="Georgia" w:cs="Georgia" w:eastAsia="Georgia" w:hAnsi="Georgia"/>
          <w:b/>
          <w:bCs/>
          <w:color w:val="B85042"/>
          <w:sz w:val="24"/>
          <w:szCs w:val="24"/>
        </w:rPr>
        <w:t xml:space="preserve">5  </w:t>
      </w:r>
      <w:r>
        <w:rPr>
          <w:rFonts w:ascii="Georgia" w:cs="Georgia" w:eastAsia="Georgia" w:hAnsi="Georgia"/>
          <w:b/>
          <w:bCs/>
          <w:i w:val="false"/>
          <w:iCs w:val="false"/>
          <w:color w:val="1F1B16"/>
          <w:sz w:val="24"/>
          <w:szCs w:val="24"/>
        </w:rPr>
        <w:t xml:space="preserve">Intuition &amp; Reasoning</w:t>
      </w:r>
      <w:r>
        <w:t xml:space="preserve">   </w:t>
      </w:r>
      <w:r>
        <w:rPr>
          <w:rFonts w:ascii="Georgia" w:cs="Georgia" w:eastAsia="Georgia" w:hAnsi="Georgia"/>
          <w:b/>
          <w:bCs/>
          <w:color w:val="FFFFFF"/>
          <w:sz w:val="14"/>
          <w:szCs w:val="14"/>
          <w:shd w:fill="3E6B3A" w:color="3E6B3A" w:val="clear"/>
        </w:rPr>
        <w:t xml:space="preserve"> ACCEPTED </w:t>
      </w:r>
    </w:p>
    <w:p>
      <w:pPr>
        <w:spacing w:after="80"/>
        <w:jc w:val="both"/>
      </w:pPr>
      <w:r>
        <w:rPr>
          <w:rFonts w:ascii="EB Garamond" w:cs="EB Garamond" w:eastAsia="EB Garamond" w:hAnsi="EB Garamond"/>
          <w:i w:val="false"/>
          <w:iCs w:val="false"/>
          <w:color w:val="1F1B16"/>
          <w:sz w:val="22"/>
          <w:szCs w:val="22"/>
        </w:rPr>
        <w:t xml:space="preserve">Defines intuition as immediate knowing without conscious reasoning (gut feeling, hunch) and contrasts two cognitive modes: pattern recognition (fast, right-hemisphere-dominant) versus step-by-step analysis (slower, left-hemisphere-dominant). This is the dual-process distinction — Kahneman's System 1 and System 2 — mapped onto McGilchrist's hemispheric attention modes.</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[5] [2] [6]</w:t>
      </w:r>
    </w:p>
    <w:p>
      <w:pPr>
        <w:keepNext/>
        <w:spacing w:after="60" w:before="200"/>
      </w:pPr>
      <w:r>
        <w:rPr>
          <w:rFonts w:ascii="Georgia" w:cs="Georgia" w:eastAsia="Georgia" w:hAnsi="Georgia"/>
          <w:b/>
          <w:bCs/>
          <w:color w:val="B85042"/>
          <w:sz w:val="24"/>
          <w:szCs w:val="24"/>
        </w:rPr>
        <w:t xml:space="preserve">6  </w:t>
      </w:r>
      <w:r>
        <w:rPr>
          <w:rFonts w:ascii="Georgia" w:cs="Georgia" w:eastAsia="Georgia" w:hAnsi="Georgia"/>
          <w:b/>
          <w:bCs/>
          <w:i w:val="false"/>
          <w:iCs w:val="false"/>
          <w:color w:val="1F1B16"/>
          <w:sz w:val="24"/>
          <w:szCs w:val="24"/>
        </w:rPr>
        <w:t xml:space="preserve">What Intuition Feels Like</w:t>
      </w:r>
      <w:r>
        <w:t xml:space="preserve">   </w:t>
      </w:r>
      <w:r>
        <w:rPr>
          <w:rFonts w:ascii="Georgia" w:cs="Georgia" w:eastAsia="Georgia" w:hAnsi="Georgia"/>
          <w:b/>
          <w:bCs/>
          <w:color w:val="FFFFFF"/>
          <w:sz w:val="14"/>
          <w:szCs w:val="14"/>
          <w:shd w:fill="3E6B3A" w:color="3E6B3A" w:val="clear"/>
        </w:rPr>
        <w:t xml:space="preserve"> ACCEPTED </w:t>
      </w:r>
    </w:p>
    <w:p>
      <w:pPr>
        <w:spacing w:after="80"/>
        <w:jc w:val="both"/>
      </w:pPr>
      <w:r>
        <w:rPr>
          <w:rFonts w:ascii="EB Garamond" w:cs="EB Garamond" w:eastAsia="EB Garamond" w:hAnsi="EB Garamond"/>
          <w:i w:val="false"/>
          <w:iCs w:val="false"/>
          <w:color w:val="1F1B16"/>
          <w:sz w:val="22"/>
          <w:szCs w:val="22"/>
        </w:rPr>
        <w:t xml:space="preserve">Five phenomenological channels of intuition, each paired with a measured correlate: knowing (implicit learning), image (right-hemisphere global advantage), sound (right auditory cortex handles pitch and spectrum), body (interoception, right anterior insula), and threat (amygdala response to masked fear, with the subcortical route marked 'contested'). Bottom line: intuition arrives before language.</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[6] [7] [8] [4] [9] [10] [11] [12]</w:t>
      </w:r>
    </w:p>
    <w:p>
      <w:pPr>
        <w:keepNext/>
        <w:spacing w:after="60" w:before="200"/>
      </w:pPr>
      <w:r>
        <w:rPr>
          <w:rFonts w:ascii="Georgia" w:cs="Georgia" w:eastAsia="Georgia" w:hAnsi="Georgia"/>
          <w:b/>
          <w:bCs/>
          <w:color w:val="B85042"/>
          <w:sz w:val="24"/>
          <w:szCs w:val="24"/>
        </w:rPr>
        <w:t xml:space="preserve">7  </w:t>
      </w:r>
      <w:r>
        <w:rPr>
          <w:rFonts w:ascii="Georgia" w:cs="Georgia" w:eastAsia="Georgia" w:hAnsi="Georgia"/>
          <w:b/>
          <w:bCs/>
          <w:i w:val="false"/>
          <w:iCs w:val="false"/>
          <w:color w:val="1F1B16"/>
          <w:sz w:val="24"/>
          <w:szCs w:val="24"/>
        </w:rPr>
        <w:t xml:space="preserve">Intuition as Right-Hemisphere Function</w:t>
      </w:r>
      <w:r>
        <w:t xml:space="preserve">   </w:t>
      </w:r>
      <w:r>
        <w:rPr>
          <w:rFonts w:ascii="Georgia" w:cs="Georgia" w:eastAsia="Georgia" w:hAnsi="Georgia"/>
          <w:b/>
          <w:bCs/>
          <w:color w:val="FFFFFF"/>
          <w:sz w:val="14"/>
          <w:szCs w:val="14"/>
          <w:shd w:fill="3E6B3A" w:color="3E6B3A" w:val="clear"/>
        </w:rPr>
        <w:t xml:space="preserve"> ACCEPTED </w:t>
      </w:r>
    </w:p>
    <w:p>
      <w:pPr>
        <w:spacing w:after="80"/>
        <w:jc w:val="both"/>
      </w:pPr>
      <w:r>
        <w:rPr>
          <w:rFonts w:ascii="EB Garamond" w:cs="EB Garamond" w:eastAsia="EB Garamond" w:hAnsi="EB Garamond"/>
          <w:i w:val="false"/>
          <w:iCs w:val="false"/>
          <w:color w:val="1F1B16"/>
          <w:sz w:val="22"/>
          <w:szCs w:val="22"/>
        </w:rPr>
        <w:t xml:space="preserve">Millions of parallel sensory inputs resolve into one holistic impression — the right-hemisphere contribution — on a total brain budget of about 20 watts. The message: intuition is not magic; it is efficient parallel integration at scale. Note: the speaker notes use 'compresses'; the deck's own vocabulary rulings prefer 'integrates' or 'resolves' for right-hemisphere work.</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[13] [14] [2]</w:t>
      </w:r>
    </w:p>
    <w:p>
      <w:pPr>
        <w:keepNext/>
        <w:spacing w:after="60" w:before="200"/>
      </w:pPr>
      <w:r>
        <w:rPr>
          <w:rFonts w:ascii="Georgia" w:cs="Georgia" w:eastAsia="Georgia" w:hAnsi="Georgia"/>
          <w:b/>
          <w:bCs/>
          <w:color w:val="B85042"/>
          <w:sz w:val="24"/>
          <w:szCs w:val="24"/>
        </w:rPr>
        <w:t xml:space="preserve">8  </w:t>
      </w:r>
      <w:r>
        <w:rPr>
          <w:rFonts w:ascii="Georgia" w:cs="Georgia" w:eastAsia="Georgia" w:hAnsi="Georgia"/>
          <w:b/>
          <w:bCs/>
          <w:i w:val="false"/>
          <w:iCs w:val="false"/>
          <w:color w:val="1F1B16"/>
          <w:sz w:val="24"/>
          <w:szCs w:val="24"/>
        </w:rPr>
        <w:t xml:space="preserve">Astrology Uses Intuition through Cycles</w:t>
      </w:r>
      <w:r>
        <w:t xml:space="preserve">   </w:t>
      </w:r>
      <w:r>
        <w:rPr>
          <w:rFonts w:ascii="Georgia" w:cs="Georgia" w:eastAsia="Georgia" w:hAnsi="Georgia"/>
          <w:b/>
          <w:bCs/>
          <w:color w:val="FFFFFF"/>
          <w:sz w:val="14"/>
          <w:szCs w:val="14"/>
          <w:shd w:fill="8B6914" w:color="8B6914" w:val="clear"/>
        </w:rPr>
        <w:t xml:space="preserve"> FRONTIER </w:t>
      </w:r>
    </w:p>
    <w:p>
      <w:pPr>
        <w:spacing w:after="80"/>
        <w:jc w:val="both"/>
      </w:pPr>
      <w:r>
        <w:rPr>
          <w:rFonts w:ascii="EB Garamond" w:cs="EB Garamond" w:eastAsia="EB Garamond" w:hAnsi="EB Garamond"/>
          <w:i w:val="false"/>
          <w:iCs w:val="false"/>
          <w:color w:val="1F1B16"/>
          <w:sz w:val="22"/>
          <w:szCs w:val="22"/>
        </w:rPr>
        <w:t xml:space="preserve">Nested time scales — day, month, year, life — drawn as waves lived so far (solid) and not yet (dotted). The body has completed thousands of days and hundreds of months, so it can feel its position in a cycle, even one it has never finished. The distinction 'tunings, not sentences' is the talk's own term: cycles are stored as calibrated expectations, not explicit propositions. The biological claim rests on chronobiology (nested circadian, infradian, and circannual rhythms); the felt-position claim is a FRONTIER extension.</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[15] [6] [1]</w:t>
      </w:r>
    </w:p>
    <w:p>
      <w:pPr>
        <w:keepNext/>
        <w:spacing w:after="60" w:before="200"/>
      </w:pPr>
      <w:r>
        <w:rPr>
          <w:rFonts w:ascii="Georgia" w:cs="Georgia" w:eastAsia="Georgia" w:hAnsi="Georgia"/>
          <w:b/>
          <w:bCs/>
          <w:color w:val="B85042"/>
          <w:sz w:val="24"/>
          <w:szCs w:val="24"/>
        </w:rPr>
        <w:t xml:space="preserve">9  </w:t>
      </w:r>
      <w:r>
        <w:rPr>
          <w:rFonts w:ascii="Georgia" w:cs="Georgia" w:eastAsia="Georgia" w:hAnsi="Georgia"/>
          <w:b/>
          <w:bCs/>
          <w:i w:val="false"/>
          <w:iCs w:val="false"/>
          <w:color w:val="1F1B16"/>
          <w:sz w:val="24"/>
          <w:szCs w:val="24"/>
        </w:rPr>
        <w:t xml:space="preserve">Two Sky-Clocks: Diurnal and Zodiacal Motion</w:t>
      </w:r>
      <w:r>
        <w:t xml:space="preserve">   </w:t>
      </w:r>
      <w:r>
        <w:rPr>
          <w:rFonts w:ascii="Georgia" w:cs="Georgia" w:eastAsia="Georgia" w:hAnsi="Georgia"/>
          <w:b/>
          <w:bCs/>
          <w:color w:val="FFFFFF"/>
          <w:sz w:val="14"/>
          <w:szCs w:val="14"/>
          <w:shd w:fill="3E6B3A" w:color="3E6B3A" w:val="clear"/>
        </w:rPr>
        <w:t xml:space="preserve"> ACCEPTED </w:t>
      </w:r>
    </w:p>
    <w:p>
      <w:pPr>
        <w:spacing w:after="80"/>
        <w:jc w:val="both"/>
      </w:pPr>
      <w:r>
        <w:rPr>
          <w:rFonts w:ascii="EB Garamond" w:cs="EB Garamond" w:eastAsia="EB Garamond" w:hAnsi="EB Garamond"/>
          <w:i w:val="false"/>
          <w:iCs w:val="false"/>
          <w:color w:val="1F1B16"/>
          <w:sz w:val="22"/>
          <w:szCs w:val="22"/>
        </w:rPr>
        <w:t xml:space="preserve">Traditional astronomy runs two clocks turning in opposite directions. Diurnal motion — the whole sky wheeling east to west once a day (the ancients' </w:t>
      </w:r>
      <w:r>
        <w:rPr>
          <w:rFonts w:ascii="EB Garamond" w:cs="EB Garamond" w:eastAsia="EB Garamond" w:hAnsi="EB Garamond"/>
          <w:i/>
          <w:iCs/>
          <w:color w:val="1F1B16"/>
          <w:sz w:val="22"/>
          <w:szCs w:val="22"/>
        </w:rPr>
        <w:t xml:space="preserve">primum mobile</w:t>
      </w:r>
      <w:r>
        <w:rPr>
          <w:rFonts w:ascii="EB Garamond" w:cs="EB Garamond" w:eastAsia="EB Garamond" w:hAnsi="EB Garamond"/>
          <w:i w:val="false"/>
          <w:iCs w:val="false"/>
          <w:color w:val="1F1B16"/>
          <w:sz w:val="22"/>
          <w:szCs w:val="22"/>
        </w:rPr>
        <w:t xml:space="preserve">) — gives hours and houses: fast, precise, local. Zodiacal motion — planets drifting eastward through the signs, each at its own pace — gives signs, cycles, and aspects: slow, global. Every planet is read in both at once: diurnal for timing, zodiacal for meaning.</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[16] [17] [18]</w:t>
      </w:r>
    </w:p>
    <w:p>
      <w:pPr>
        <w:keepNext/>
        <w:spacing w:after="60" w:before="200"/>
      </w:pPr>
      <w:r>
        <w:rPr>
          <w:rFonts w:ascii="Georgia" w:cs="Georgia" w:eastAsia="Georgia" w:hAnsi="Georgia"/>
          <w:b/>
          <w:bCs/>
          <w:color w:val="B85042"/>
          <w:sz w:val="24"/>
          <w:szCs w:val="24"/>
        </w:rPr>
        <w:t xml:space="preserve">10  </w:t>
      </w:r>
      <w:r>
        <w:rPr>
          <w:rFonts w:ascii="Georgia" w:cs="Georgia" w:eastAsia="Georgia" w:hAnsi="Georgia"/>
          <w:b/>
          <w:bCs/>
          <w:i w:val="false"/>
          <w:iCs w:val="false"/>
          <w:color w:val="1F1B16"/>
          <w:sz w:val="24"/>
          <w:szCs w:val="24"/>
        </w:rPr>
        <w:t xml:space="preserve">Astrology Methods toward Intuition</w:t>
      </w:r>
      <w:r>
        <w:t xml:space="preserve">   </w:t>
      </w:r>
      <w:r>
        <w:rPr>
          <w:rFonts w:ascii="Georgia" w:cs="Georgia" w:eastAsia="Georgia" w:hAnsi="Georgia"/>
          <w:b/>
          <w:bCs/>
          <w:color w:val="FFFFFF"/>
          <w:sz w:val="14"/>
          <w:szCs w:val="14"/>
          <w:shd w:fill="8B6914" w:color="8B6914" w:val="clear"/>
        </w:rPr>
        <w:t xml:space="preserve"> FRONTIER </w:t>
      </w:r>
    </w:p>
    <w:p>
      <w:pPr>
        <w:spacing w:after="80"/>
        <w:jc w:val="both"/>
      </w:pPr>
      <w:r>
        <w:rPr>
          <w:rFonts w:ascii="EB Garamond" w:cs="EB Garamond" w:eastAsia="EB Garamond" w:hAnsi="EB Garamond"/>
          <w:i w:val="false"/>
          <w:iCs w:val="false"/>
          <w:color w:val="1F1B16"/>
          <w:sz w:val="22"/>
          <w:szCs w:val="22"/>
        </w:rPr>
        <w:t xml:space="preserve">Four practices that exercise broad-mode attention: holding opposites (Jupiter–Saturn, Mars–Venus, Sun–Moon), synthesizing house, sign, and aspect into one meaning, trusting the felt sense, and slowing down to sit with ambiguity. Framed as the opposite of left-hemisphere reductionism. The pedagogical claim (that chart synthesis trains holistic attention) is plausible and untested.</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[2] [19] [1]</w:t>
      </w:r>
    </w:p>
    <w:p>
      <w:pPr>
        <w:keepNext/>
        <w:spacing w:after="60" w:before="200"/>
      </w:pPr>
      <w:r>
        <w:rPr>
          <w:rFonts w:ascii="Georgia" w:cs="Georgia" w:eastAsia="Georgia" w:hAnsi="Georgia"/>
          <w:b/>
          <w:bCs/>
          <w:color w:val="B85042"/>
          <w:sz w:val="24"/>
          <w:szCs w:val="24"/>
        </w:rPr>
        <w:t xml:space="preserve">11  </w:t>
      </w:r>
      <w:r>
        <w:rPr>
          <w:rFonts w:ascii="Georgia" w:cs="Georgia" w:eastAsia="Georgia" w:hAnsi="Georgia"/>
          <w:b/>
          <w:bCs/>
          <w:i w:val="false"/>
          <w:iCs w:val="false"/>
          <w:color w:val="1F1B16"/>
          <w:sz w:val="24"/>
          <w:szCs w:val="24"/>
        </w:rPr>
        <w:t xml:space="preserve">Why AI Cannot </w:t>
      </w:r>
      <w:r>
        <w:rPr>
          <w:rFonts w:ascii="Georgia" w:cs="Georgia" w:eastAsia="Georgia" w:hAnsi="Georgia"/>
          <w:b/>
          <w:bCs/>
          <w:i/>
          <w:iCs/>
          <w:color w:val="1F1B16"/>
          <w:sz w:val="24"/>
          <w:szCs w:val="24"/>
        </w:rPr>
        <w:t xml:space="preserve">Read</w:t>
      </w:r>
      <w:r>
        <w:rPr>
          <w:rFonts w:ascii="Georgia" w:cs="Georgia" w:eastAsia="Georgia" w:hAnsi="Georgia"/>
          <w:b/>
          <w:bCs/>
          <w:i w:val="false"/>
          <w:iCs w:val="false"/>
          <w:color w:val="1F1B16"/>
          <w:sz w:val="24"/>
          <w:szCs w:val="24"/>
        </w:rPr>
        <w:t xml:space="preserve"> a Chart</w:t>
      </w:r>
      <w:r>
        <w:t xml:space="preserve">   </w:t>
      </w:r>
      <w:r>
        <w:rPr>
          <w:rFonts w:ascii="Georgia" w:cs="Georgia" w:eastAsia="Georgia" w:hAnsi="Georgia"/>
          <w:b/>
          <w:bCs/>
          <w:color w:val="FFFFFF"/>
          <w:sz w:val="14"/>
          <w:szCs w:val="14"/>
          <w:shd w:fill="6E2424" w:color="6E2424" w:val="clear"/>
        </w:rPr>
        <w:t xml:space="preserve"> SPECULATIVE </w:t>
      </w:r>
    </w:p>
    <w:p>
      <w:pPr>
        <w:spacing w:after="80"/>
        <w:jc w:val="both"/>
      </w:pPr>
      <w:r>
        <w:rPr>
          <w:rFonts w:ascii="EB Garamond" w:cs="EB Garamond" w:eastAsia="EB Garamond" w:hAnsi="EB Garamond"/>
          <w:i w:val="false"/>
          <w:iCs w:val="false"/>
          <w:color w:val="1F1B16"/>
          <w:sz w:val="22"/>
          <w:szCs w:val="22"/>
        </w:rPr>
        <w:t xml:space="preserve">Three capacities a language model lacks: dialectics (holding contradictory elements and finding the thread), embodied intuition (the felt sense of lived time), and true synthesis (parts integrated into a whole). AI mimics the output of a reading; it cannot have the experience. This is a philosophical argument from embodiment, not an empirical result; it is the talk's position and should be stated as such.</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[3] [13] [1]</w:t>
      </w:r>
    </w:p>
    <w:p>
      <w:pPr>
        <w:pStyle w:val="Heading1"/>
        <w:pBdr>
          <w:bottom w:val="single" w:color="B85042" w:sz="12" w:space="4"/>
        </w:pBdr>
        <w:spacing w:after="160" w:before="360"/>
      </w:pPr>
      <w:r>
        <w:rPr>
          <w:rFonts w:ascii="Georgia" w:cs="Georgia" w:eastAsia="Georgia" w:hAnsi="Georgia"/>
          <w:b/>
          <w:bCs/>
          <w:color w:val="1F1B16"/>
          <w:sz w:val="32"/>
          <w:szCs w:val="32"/>
        </w:rPr>
        <w:t xml:space="preserve">Chapter 2 — What Are the Right and Left Hemispheres?</w:t>
      </w:r>
    </w:p>
    <w:p>
      <w:pPr>
        <w:keepNext/>
        <w:spacing w:after="60" w:before="200"/>
      </w:pPr>
      <w:r>
        <w:rPr>
          <w:rFonts w:ascii="Georgia" w:cs="Georgia" w:eastAsia="Georgia" w:hAnsi="Georgia"/>
          <w:b/>
          <w:bCs/>
          <w:color w:val="B85042"/>
          <w:sz w:val="24"/>
          <w:szCs w:val="24"/>
        </w:rPr>
        <w:t xml:space="preserve">12  </w:t>
      </w:r>
      <w:r>
        <w:rPr>
          <w:rFonts w:ascii="Georgia" w:cs="Georgia" w:eastAsia="Georgia" w:hAnsi="Georgia"/>
          <w:b/>
          <w:bCs/>
          <w:i w:val="false"/>
          <w:iCs w:val="false"/>
          <w:color w:val="1F1B16"/>
          <w:sz w:val="24"/>
          <w:szCs w:val="24"/>
        </w:rPr>
        <w:t xml:space="preserve">Chapter 02: What is the Right and Left Hemisphere of the Brain?</w:t>
      </w:r>
      <w:r>
        <w:t xml:space="preserve">   </w:t>
      </w:r>
      <w:r>
        <w:rPr>
          <w:rFonts w:ascii="Georgia" w:cs="Georgia" w:eastAsia="Georgia" w:hAnsi="Georgia"/>
          <w:b/>
          <w:bCs/>
          <w:color w:val="FFFFFF"/>
          <w:sz w:val="14"/>
          <w:szCs w:val="14"/>
          <w:shd w:fill="5F5651" w:color="5F5651" w:val="clear"/>
        </w:rPr>
        <w:t xml:space="preserve"> N/A </w:t>
      </w:r>
    </w:p>
    <w:p>
      <w:pPr>
        <w:spacing w:after="80"/>
        <w:jc w:val="both"/>
      </w:pPr>
      <w:r>
        <w:rPr>
          <w:rFonts w:ascii="EB Garamond" w:cs="EB Garamond" w:eastAsia="EB Garamond" w:hAnsi="EB Garamond"/>
          <w:i w:val="false"/>
          <w:iCs w:val="false"/>
          <w:color w:val="1F1B16"/>
          <w:sz w:val="22"/>
          <w:szCs w:val="22"/>
        </w:rPr>
        <w:t xml:space="preserve">Chapter divider.</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[1]</w:t>
      </w:r>
    </w:p>
    <w:p>
      <w:pPr>
        <w:keepNext/>
        <w:spacing w:after="60" w:before="200"/>
      </w:pPr>
      <w:r>
        <w:rPr>
          <w:rFonts w:ascii="Georgia" w:cs="Georgia" w:eastAsia="Georgia" w:hAnsi="Georgia"/>
          <w:b/>
          <w:bCs/>
          <w:color w:val="B85042"/>
          <w:sz w:val="24"/>
          <w:szCs w:val="24"/>
        </w:rPr>
        <w:t xml:space="preserve">13  </w:t>
      </w:r>
      <w:r>
        <w:rPr>
          <w:rFonts w:ascii="Georgia" w:cs="Georgia" w:eastAsia="Georgia" w:hAnsi="Georgia"/>
          <w:b/>
          <w:bCs/>
          <w:i w:val="false"/>
          <w:iCs w:val="false"/>
          <w:color w:val="1F1B16"/>
          <w:sz w:val="24"/>
          <w:szCs w:val="24"/>
        </w:rPr>
        <w:t xml:space="preserve">Fore Street on a Busy Afternoon</w:t>
      </w:r>
      <w:r>
        <w:t xml:space="preserve">   </w:t>
      </w:r>
      <w:r>
        <w:rPr>
          <w:rFonts w:ascii="Georgia" w:cs="Georgia" w:eastAsia="Georgia" w:hAnsi="Georgia"/>
          <w:b/>
          <w:bCs/>
          <w:color w:val="FFFFFF"/>
          <w:sz w:val="14"/>
          <w:szCs w:val="14"/>
          <w:shd w:fill="3E6B3A" w:color="3E6B3A" w:val="clear"/>
        </w:rPr>
        <w:t xml:space="preserve"> ACCEPTED </w:t>
      </w:r>
    </w:p>
    <w:p>
      <w:pPr>
        <w:spacing w:after="80"/>
        <w:jc w:val="both"/>
      </w:pPr>
      <w:r>
        <w:rPr>
          <w:rFonts w:ascii="EB Garamond" w:cs="EB Garamond" w:eastAsia="EB Garamond" w:hAnsi="EB Garamond"/>
          <w:i w:val="false"/>
          <w:iCs w:val="false"/>
          <w:color w:val="1F1B16"/>
          <w:sz w:val="22"/>
          <w:szCs w:val="22"/>
        </w:rPr>
        <w:t xml:space="preserve">Perceptual demonstration. The audience names the scene ('a shopping street') in about a second, yet the visual system has already located and classified every element — the couple on the bench, scaffolding, crutches, pushchair, afternoon shadows — before the word arrives. The big idea: the senses take in vastly more than the conscious, narrow mode reports. The throughput gap (roughly a billion bits per second at the periphery versus about ten bits per second consciously) is documented.</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[20] [13]</w:t>
      </w:r>
    </w:p>
    <w:p>
      <w:pPr>
        <w:keepNext/>
        <w:spacing w:after="60" w:before="200"/>
      </w:pPr>
      <w:r>
        <w:rPr>
          <w:rFonts w:ascii="Georgia" w:cs="Georgia" w:eastAsia="Georgia" w:hAnsi="Georgia"/>
          <w:b/>
          <w:bCs/>
          <w:color w:val="B85042"/>
          <w:sz w:val="24"/>
          <w:szCs w:val="24"/>
        </w:rPr>
        <w:t xml:space="preserve">14  </w:t>
      </w:r>
      <w:r>
        <w:rPr>
          <w:rFonts w:ascii="Georgia" w:cs="Georgia" w:eastAsia="Georgia" w:hAnsi="Georgia"/>
          <w:b/>
          <w:bCs/>
          <w:i w:val="false"/>
          <w:iCs w:val="false"/>
          <w:color w:val="1F1B16"/>
          <w:sz w:val="24"/>
          <w:szCs w:val="24"/>
        </w:rPr>
        <w:t xml:space="preserve">The Hawk (Keppler cartoon)</w:t>
      </w:r>
      <w:r>
        <w:t xml:space="preserve">   </w:t>
      </w:r>
      <w:r>
        <w:rPr>
          <w:rFonts w:ascii="Georgia" w:cs="Georgia" w:eastAsia="Georgia" w:hAnsi="Georgia"/>
          <w:b/>
          <w:bCs/>
          <w:color w:val="FFFFFF"/>
          <w:sz w:val="14"/>
          <w:szCs w:val="14"/>
          <w:shd w:fill="3E6B3A" w:color="3E6B3A" w:val="clear"/>
        </w:rPr>
        <w:t xml:space="preserve"> ACCEPTED </w:t>
      </w:r>
    </w:p>
    <w:p>
      <w:pPr>
        <w:spacing w:after="80"/>
        <w:jc w:val="both"/>
      </w:pPr>
      <w:r>
        <w:rPr>
          <w:rFonts w:ascii="EB Garamond" w:cs="EB Garamond" w:eastAsia="EB Garamond" w:hAnsi="EB Garamond"/>
          <w:i w:val="false"/>
          <w:iCs w:val="false"/>
          <w:color w:val="1F1B16"/>
          <w:sz w:val="22"/>
          <w:szCs w:val="22"/>
        </w:rPr>
        <w:t xml:space="preserve">Evolution's reason for two kinds of attention. A feeding animal needs narrow, committed focus (this seed, ignore the rest) and simultaneously wide, expectant vigilance (the hawk). The two jobs are incompatible in one attentional system, so vertebrates split them between hemispheres — a design found across birds, fish, and mammals and roughly five hundred million years old.</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[21] [22] [23] [2]</w:t>
      </w:r>
    </w:p>
    <w:p>
      <w:pPr>
        <w:keepNext/>
        <w:spacing w:after="60" w:before="200"/>
      </w:pPr>
      <w:r>
        <w:rPr>
          <w:rFonts w:ascii="Georgia" w:cs="Georgia" w:eastAsia="Georgia" w:hAnsi="Georgia"/>
          <w:b/>
          <w:bCs/>
          <w:color w:val="B85042"/>
          <w:sz w:val="24"/>
          <w:szCs w:val="24"/>
        </w:rPr>
        <w:t xml:space="preserve">15  </w:t>
      </w:r>
      <w:r>
        <w:rPr>
          <w:rFonts w:ascii="Georgia" w:cs="Georgia" w:eastAsia="Georgia" w:hAnsi="Georgia"/>
          <w:b/>
          <w:bCs/>
          <w:i w:val="false"/>
          <w:iCs w:val="false"/>
          <w:color w:val="1F1B16"/>
          <w:sz w:val="24"/>
          <w:szCs w:val="24"/>
        </w:rPr>
        <w:t xml:space="preserve">Cow and Lion</w:t>
      </w:r>
      <w:r>
        <w:t xml:space="preserve">   </w:t>
      </w:r>
      <w:r>
        <w:rPr>
          <w:rFonts w:ascii="Georgia" w:cs="Georgia" w:eastAsia="Georgia" w:hAnsi="Georgia"/>
          <w:b/>
          <w:bCs/>
          <w:color w:val="FFFFFF"/>
          <w:sz w:val="14"/>
          <w:szCs w:val="14"/>
          <w:shd w:fill="5F5651" w:color="5F5651" w:val="clear"/>
        </w:rPr>
        <w:t xml:space="preserve"> MIXED </w:t>
      </w:r>
    </w:p>
    <w:p>
      <w:pPr>
        <w:spacing w:after="80"/>
        <w:jc w:val="both"/>
      </w:pPr>
      <w:r>
        <w:rPr>
          <w:rFonts w:ascii="EB Garamond" w:cs="EB Garamond" w:eastAsia="EB Garamond" w:hAnsi="EB Garamond"/>
          <w:i w:val="false"/>
          <w:iCs w:val="false"/>
          <w:color w:val="1F1B16"/>
          <w:sz w:val="22"/>
          <w:szCs w:val="22"/>
        </w:rPr>
        <w:t xml:space="preserve">Prey animals carry laterally placed eyes for wide-field surveillance; predators carry forward-facing eyes for targeted binocular focus (ACCEPTED). The notes extend this to lateralization within a herd — strongly 'left-mode' individuals forage well but miss predators and herd poorly; 'right-mode' individuals stay with the group and stay alert. Lateralized behavior in cattle and other livestock is documented, but the specific barn-versus-field characterization is an illustrative gloss (FRONTIER).</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[24] [25] [26] [22]</w:t>
      </w:r>
    </w:p>
    <w:p>
      <w:pPr>
        <w:keepNext/>
        <w:spacing w:after="60" w:before="200"/>
      </w:pPr>
      <w:r>
        <w:rPr>
          <w:rFonts w:ascii="Georgia" w:cs="Georgia" w:eastAsia="Georgia" w:hAnsi="Georgia"/>
          <w:b/>
          <w:bCs/>
          <w:color w:val="B85042"/>
          <w:sz w:val="24"/>
          <w:szCs w:val="24"/>
        </w:rPr>
        <w:t xml:space="preserve">16  </w:t>
      </w:r>
      <w:r>
        <w:rPr>
          <w:rFonts w:ascii="Georgia" w:cs="Georgia" w:eastAsia="Georgia" w:hAnsi="Georgia"/>
          <w:b/>
          <w:bCs/>
          <w:i w:val="false"/>
          <w:iCs w:val="false"/>
          <w:color w:val="1F1B16"/>
          <w:sz w:val="24"/>
          <w:szCs w:val="24"/>
        </w:rPr>
        <w:t xml:space="preserve">Two Hemispheres, Two Worlds</w:t>
      </w:r>
      <w:r>
        <w:t xml:space="preserve">   </w:t>
      </w:r>
      <w:r>
        <w:rPr>
          <w:rFonts w:ascii="Georgia" w:cs="Georgia" w:eastAsia="Georgia" w:hAnsi="Georgia"/>
          <w:b/>
          <w:bCs/>
          <w:color w:val="FFFFFF"/>
          <w:sz w:val="14"/>
          <w:szCs w:val="14"/>
          <w:shd w:fill="3E6B3A" w:color="3E6B3A" w:val="clear"/>
        </w:rPr>
        <w:t xml:space="preserve"> ACCEPTED </w:t>
      </w:r>
    </w:p>
    <w:p>
      <w:pPr>
        <w:spacing w:after="80"/>
        <w:jc w:val="both"/>
      </w:pPr>
      <w:r>
        <w:rPr>
          <w:rFonts w:ascii="EB Garamond" w:cs="EB Garamond" w:eastAsia="EB Garamond" w:hAnsi="EB Garamond"/>
          <w:i w:val="false"/>
          <w:iCs w:val="false"/>
          <w:color w:val="1F1B16"/>
          <w:sz w:val="22"/>
          <w:szCs w:val="22"/>
        </w:rPr>
        <w:t xml:space="preserve">McGilchrist's summary table: left hemisphere as emissary — grasping, linear time, sequential, a virtual model, the mode AI imitates; right hemisphere as master — beholding, cyclical time, parallel, immersed in the real, organic and embodied. Two ways of attending produce two worlds. The tabulated contrasts are McGilchrist's; the 'Artificial (AI)' row is the talk's addition.</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[2] [3] [27]</w:t>
      </w:r>
    </w:p>
    <w:p>
      <w:pPr>
        <w:pStyle w:val="Heading1"/>
        <w:pBdr>
          <w:bottom w:val="single" w:color="B85042" w:sz="12" w:space="4"/>
        </w:pBdr>
        <w:spacing w:after="160" w:before="360"/>
      </w:pPr>
      <w:r>
        <w:rPr>
          <w:rFonts w:ascii="Georgia" w:cs="Georgia" w:eastAsia="Georgia" w:hAnsi="Georgia"/>
          <w:b/>
          <w:bCs/>
          <w:color w:val="1F1B16"/>
          <w:sz w:val="32"/>
          <w:szCs w:val="32"/>
        </w:rPr>
        <w:t xml:space="preserve">Chapter 3 — Why Is There Anxiety About AI?</w:t>
      </w:r>
    </w:p>
    <w:p>
      <w:pPr>
        <w:keepNext/>
        <w:spacing w:after="60" w:before="200"/>
      </w:pPr>
      <w:r>
        <w:rPr>
          <w:rFonts w:ascii="Georgia" w:cs="Georgia" w:eastAsia="Georgia" w:hAnsi="Georgia"/>
          <w:b/>
          <w:bCs/>
          <w:color w:val="B85042"/>
          <w:sz w:val="24"/>
          <w:szCs w:val="24"/>
        </w:rPr>
        <w:t xml:space="preserve">17  </w:t>
      </w:r>
      <w:r>
        <w:rPr>
          <w:rFonts w:ascii="Georgia" w:cs="Georgia" w:eastAsia="Georgia" w:hAnsi="Georgia"/>
          <w:b/>
          <w:bCs/>
          <w:i w:val="false"/>
          <w:iCs w:val="false"/>
          <w:color w:val="1F1B16"/>
          <w:sz w:val="24"/>
          <w:szCs w:val="24"/>
        </w:rPr>
        <w:t xml:space="preserve">Chapter 03: Why is there anxiety about AI?</w:t>
      </w:r>
      <w:r>
        <w:t xml:space="preserve">   </w:t>
      </w:r>
      <w:r>
        <w:rPr>
          <w:rFonts w:ascii="Georgia" w:cs="Georgia" w:eastAsia="Georgia" w:hAnsi="Georgia"/>
          <w:b/>
          <w:bCs/>
          <w:color w:val="FFFFFF"/>
          <w:sz w:val="14"/>
          <w:szCs w:val="14"/>
          <w:shd w:fill="5F5651" w:color="5F5651" w:val="clear"/>
        </w:rPr>
        <w:t xml:space="preserve"> N/A </w:t>
      </w:r>
    </w:p>
    <w:p>
      <w:pPr>
        <w:spacing w:after="80"/>
        <w:jc w:val="both"/>
      </w:pPr>
      <w:r>
        <w:rPr>
          <w:rFonts w:ascii="EB Garamond" w:cs="EB Garamond" w:eastAsia="EB Garamond" w:hAnsi="EB Garamond"/>
          <w:i w:val="false"/>
          <w:iCs w:val="false"/>
          <w:color w:val="1F1B16"/>
          <w:sz w:val="22"/>
          <w:szCs w:val="22"/>
        </w:rPr>
        <w:t xml:space="preserve">Chapter divider: tracing fear of created intelligence from ancient automata to modern disruption.</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[1]</w:t>
      </w:r>
    </w:p>
    <w:p>
      <w:pPr>
        <w:keepNext/>
        <w:spacing w:after="60" w:before="200"/>
      </w:pPr>
      <w:r>
        <w:rPr>
          <w:rFonts w:ascii="Georgia" w:cs="Georgia" w:eastAsia="Georgia" w:hAnsi="Georgia"/>
          <w:b/>
          <w:bCs/>
          <w:color w:val="B85042"/>
          <w:sz w:val="24"/>
          <w:szCs w:val="24"/>
        </w:rPr>
        <w:t xml:space="preserve">18  </w:t>
      </w:r>
      <w:r>
        <w:rPr>
          <w:rFonts w:ascii="Georgia" w:cs="Georgia" w:eastAsia="Georgia" w:hAnsi="Georgia"/>
          <w:b/>
          <w:bCs/>
          <w:i w:val="false"/>
          <w:iCs w:val="false"/>
          <w:color w:val="1F1B16"/>
          <w:sz w:val="24"/>
          <w:szCs w:val="24"/>
        </w:rPr>
        <w:t xml:space="preserve">Mythological Automata: Ancient AI &amp; the Fear of the Soulless</w:t>
      </w:r>
      <w:r>
        <w:t xml:space="preserve">   </w:t>
      </w:r>
      <w:r>
        <w:rPr>
          <w:rFonts w:ascii="Georgia" w:cs="Georgia" w:eastAsia="Georgia" w:hAnsi="Georgia"/>
          <w:b/>
          <w:bCs/>
          <w:color w:val="FFFFFF"/>
          <w:sz w:val="14"/>
          <w:szCs w:val="14"/>
          <w:shd w:fill="6D2E46" w:color="6D2E46" w:val="clear"/>
        </w:rPr>
        <w:t xml:space="preserve"> SYMBOLIC </w:t>
      </w:r>
    </w:p>
    <w:p>
      <w:pPr>
        <w:spacing w:after="80"/>
        <w:jc w:val="both"/>
      </w:pPr>
      <w:r>
        <w:rPr>
          <w:rFonts w:ascii="EB Garamond" w:cs="EB Garamond" w:eastAsia="EB Garamond" w:hAnsi="EB Garamond"/>
          <w:i w:val="false"/>
          <w:iCs w:val="false"/>
          <w:color w:val="1F1B16"/>
          <w:sz w:val="22"/>
          <w:szCs w:val="22"/>
        </w:rPr>
        <w:t xml:space="preserve">The recurring fear across the myths is not malice but relentlessness: the made thing follows its instruction past the point of sense. This is the symbolic register — myth as structure, not evidence — and Adrienne Mayor's survey of ancient automata is the scholarly anchor.</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[28]</w:t>
      </w:r>
    </w:p>
    <w:p>
      <w:pPr>
        <w:keepNext/>
        <w:spacing w:after="60" w:before="200"/>
      </w:pPr>
      <w:r>
        <w:rPr>
          <w:rFonts w:ascii="Georgia" w:cs="Georgia" w:eastAsia="Georgia" w:hAnsi="Georgia"/>
          <w:b/>
          <w:bCs/>
          <w:color w:val="B85042"/>
          <w:sz w:val="24"/>
          <w:szCs w:val="24"/>
        </w:rPr>
        <w:t xml:space="preserve">19  </w:t>
      </w:r>
      <w:r>
        <w:rPr>
          <w:rFonts w:ascii="Georgia" w:cs="Georgia" w:eastAsia="Georgia" w:hAnsi="Georgia"/>
          <w:b/>
          <w:bCs/>
          <w:i w:val="false"/>
          <w:iCs w:val="false"/>
          <w:color w:val="1F1B16"/>
          <w:sz w:val="24"/>
          <w:szCs w:val="24"/>
        </w:rPr>
        <w:t xml:space="preserve">Talos</w:t>
      </w:r>
      <w:r>
        <w:t xml:space="preserve">   </w:t>
      </w:r>
      <w:r>
        <w:rPr>
          <w:rFonts w:ascii="Georgia" w:cs="Georgia" w:eastAsia="Georgia" w:hAnsi="Georgia"/>
          <w:b/>
          <w:bCs/>
          <w:color w:val="FFFFFF"/>
          <w:sz w:val="14"/>
          <w:szCs w:val="14"/>
          <w:shd w:fill="6D2E46" w:color="6D2E46" w:val="clear"/>
        </w:rPr>
        <w:t xml:space="preserve"> SYMBOLIC </w:t>
      </w:r>
    </w:p>
    <w:p>
      <w:pPr>
        <w:spacing w:after="80"/>
        <w:jc w:val="both"/>
      </w:pPr>
      <w:r>
        <w:rPr>
          <w:rFonts w:ascii="EB Garamond" w:cs="EB Garamond" w:eastAsia="EB Garamond" w:hAnsi="EB Garamond"/>
          <w:i w:val="false"/>
          <w:iCs w:val="false"/>
          <w:color w:val="1F1B16"/>
          <w:sz w:val="22"/>
          <w:szCs w:val="22"/>
        </w:rPr>
        <w:t xml:space="preserve">The bronze giant guarding Crete, unbeatable in combat, defeated by Medea's persuasion and phantom images because he cannot distinguish true from false input. Lesson: a system that acts on what it perceives can be fed what is not there. Ancient sources: Apollonius (</w:t>
      </w:r>
      <w:r>
        <w:rPr>
          <w:rFonts w:ascii="EB Garamond" w:cs="EB Garamond" w:eastAsia="EB Garamond" w:hAnsi="EB Garamond"/>
          <w:i/>
          <w:iCs/>
          <w:color w:val="1F1B16"/>
          <w:sz w:val="22"/>
          <w:szCs w:val="22"/>
        </w:rPr>
        <w:t xml:space="preserve">Argonautica</w:t>
      </w:r>
      <w:r>
        <w:rPr>
          <w:rFonts w:ascii="EB Garamond" w:cs="EB Garamond" w:eastAsia="EB Garamond" w:hAnsi="EB Garamond"/>
          <w:i w:val="false"/>
          <w:iCs w:val="false"/>
          <w:color w:val="1F1B16"/>
          <w:sz w:val="22"/>
          <w:szCs w:val="22"/>
        </w:rPr>
        <w:t xml:space="preserve"> IV) and Apollodorus.</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[29] [30] [28] [31]</w:t>
      </w:r>
    </w:p>
    <w:p>
      <w:pPr>
        <w:keepNext/>
        <w:spacing w:after="60" w:before="200"/>
      </w:pPr>
      <w:r>
        <w:rPr>
          <w:rFonts w:ascii="Georgia" w:cs="Georgia" w:eastAsia="Georgia" w:hAnsi="Georgia"/>
          <w:b/>
          <w:bCs/>
          <w:color w:val="B85042"/>
          <w:sz w:val="24"/>
          <w:szCs w:val="24"/>
        </w:rPr>
        <w:t xml:space="preserve">20  </w:t>
      </w:r>
      <w:r>
        <w:rPr>
          <w:rFonts w:ascii="Georgia" w:cs="Georgia" w:eastAsia="Georgia" w:hAnsi="Georgia"/>
          <w:b/>
          <w:bCs/>
          <w:i w:val="false"/>
          <w:iCs w:val="false"/>
          <w:color w:val="1F1B16"/>
          <w:sz w:val="24"/>
          <w:szCs w:val="24"/>
        </w:rPr>
        <w:t xml:space="preserve">Golem</w:t>
      </w:r>
      <w:r>
        <w:t xml:space="preserve">   </w:t>
      </w:r>
      <w:r>
        <w:rPr>
          <w:rFonts w:ascii="Georgia" w:cs="Georgia" w:eastAsia="Georgia" w:hAnsi="Georgia"/>
          <w:b/>
          <w:bCs/>
          <w:color w:val="FFFFFF"/>
          <w:sz w:val="14"/>
          <w:szCs w:val="14"/>
          <w:shd w:fill="6D2E46" w:color="6D2E46" w:val="clear"/>
        </w:rPr>
        <w:t xml:space="preserve"> SYMBOLIC </w:t>
      </w:r>
    </w:p>
    <w:p>
      <w:pPr>
        <w:spacing w:after="80"/>
        <w:jc w:val="both"/>
      </w:pPr>
      <w:r>
        <w:rPr>
          <w:rFonts w:ascii="EB Garamond" w:cs="EB Garamond" w:eastAsia="EB Garamond" w:hAnsi="EB Garamond"/>
          <w:i w:val="false"/>
          <w:iCs w:val="false"/>
          <w:color w:val="1F1B16"/>
          <w:sz w:val="22"/>
          <w:szCs w:val="22"/>
        </w:rPr>
        <w:t xml:space="preserve">Clay animated by a written word: </w:t>
      </w:r>
      <w:r>
        <w:rPr>
          <w:rFonts w:ascii="EB Garamond" w:cs="EB Garamond" w:eastAsia="EB Garamond" w:hAnsi="EB Garamond"/>
          <w:i/>
          <w:iCs/>
          <w:color w:val="1F1B16"/>
          <w:sz w:val="22"/>
          <w:szCs w:val="22"/>
        </w:rPr>
        <w:t xml:space="preserve">emet</w:t>
      </w:r>
      <w:r>
        <w:rPr>
          <w:rFonts w:ascii="EB Garamond" w:cs="EB Garamond" w:eastAsia="EB Garamond" w:hAnsi="EB Garamond"/>
          <w:i w:val="false"/>
          <w:iCs w:val="false"/>
          <w:color w:val="1F1B16"/>
          <w:sz w:val="22"/>
          <w:szCs w:val="22"/>
        </w:rPr>
        <w:t xml:space="preserve"> (truth) on the forehead; erase one letter and it reads </w:t>
      </w:r>
      <w:r>
        <w:rPr>
          <w:rFonts w:ascii="EB Garamond" w:cs="EB Garamond" w:eastAsia="EB Garamond" w:hAnsi="EB Garamond"/>
          <w:i/>
          <w:iCs/>
          <w:color w:val="1F1B16"/>
          <w:sz w:val="22"/>
          <w:szCs w:val="22"/>
        </w:rPr>
        <w:t xml:space="preserve">met</w:t>
      </w:r>
      <w:r>
        <w:rPr>
          <w:rFonts w:ascii="EB Garamond" w:cs="EB Garamond" w:eastAsia="EB Garamond" w:hAnsi="EB Garamond"/>
          <w:i w:val="false"/>
          <w:iCs w:val="false"/>
          <w:color w:val="1F1B16"/>
          <w:sz w:val="22"/>
          <w:szCs w:val="22"/>
        </w:rPr>
        <w:t xml:space="preserve"> (dead). The golem fetches water and guards the gate and does not stop. The danger, again, is not hatred but an instruction with no off switch except editing the source. The emet/met device is first printed in Grimm (1808); Scholem gives the intellectual history.</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[32] [33] [34] [35]</w:t>
      </w:r>
    </w:p>
    <w:p>
      <w:pPr>
        <w:keepNext/>
        <w:spacing w:after="60" w:before="200"/>
      </w:pPr>
      <w:r>
        <w:rPr>
          <w:rFonts w:ascii="Georgia" w:cs="Georgia" w:eastAsia="Georgia" w:hAnsi="Georgia"/>
          <w:b/>
          <w:bCs/>
          <w:color w:val="B85042"/>
          <w:sz w:val="24"/>
          <w:szCs w:val="24"/>
        </w:rPr>
        <w:t xml:space="preserve">21  </w:t>
      </w:r>
      <w:r>
        <w:rPr>
          <w:rFonts w:ascii="Georgia" w:cs="Georgia" w:eastAsia="Georgia" w:hAnsi="Georgia"/>
          <w:b/>
          <w:bCs/>
          <w:i w:val="false"/>
          <w:iCs w:val="false"/>
          <w:color w:val="1F1B16"/>
          <w:sz w:val="24"/>
          <w:szCs w:val="24"/>
        </w:rPr>
        <w:t xml:space="preserve">Two Processors, Two Kinds of Time</w:t>
      </w:r>
      <w:r>
        <w:t xml:space="preserve">   </w:t>
      </w:r>
      <w:r>
        <w:rPr>
          <w:rFonts w:ascii="Georgia" w:cs="Georgia" w:eastAsia="Georgia" w:hAnsi="Georgia"/>
          <w:b/>
          <w:bCs/>
          <w:color w:val="FFFFFF"/>
          <w:sz w:val="14"/>
          <w:szCs w:val="14"/>
          <w:shd w:fill="5F5651" w:color="5F5651" w:val="clear"/>
        </w:rPr>
        <w:t xml:space="preserve"> MIXED </w:t>
      </w:r>
    </w:p>
    <w:p>
      <w:pPr>
        <w:spacing w:after="80"/>
        <w:jc w:val="both"/>
      </w:pPr>
      <w:r>
        <w:rPr>
          <w:rFonts w:ascii="EB Garamond" w:cs="EB Garamond" w:eastAsia="EB Garamond" w:hAnsi="EB Garamond"/>
          <w:i w:val="false"/>
          <w:iCs w:val="false"/>
          <w:color w:val="1F1B16"/>
          <w:sz w:val="22"/>
          <w:szCs w:val="22"/>
        </w:rPr>
        <w:t xml:space="preserve">Side-by-side comparison. Brain: about 20 watts, roughly a billion bits per second of sensory input, two clocks (wheel and line), one body that lives through days and seasons. AI data center: about 1,300 MWh to train a large model, trillions of tokens of text, one clock only, no body, no season. Both are flooded with data; only one lives through a year. Power and throughput figures are ACCEPTED estimates; the 'no lived time' contrast is the talk's argument.</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[14] [13] [36]</w:t>
      </w:r>
    </w:p>
    <w:p>
      <w:pPr>
        <w:pStyle w:val="Heading1"/>
        <w:pBdr>
          <w:bottom w:val="single" w:color="B85042" w:sz="12" w:space="4"/>
        </w:pBdr>
        <w:spacing w:after="160" w:before="360"/>
      </w:pPr>
      <w:r>
        <w:rPr>
          <w:rFonts w:ascii="Georgia" w:cs="Georgia" w:eastAsia="Georgia" w:hAnsi="Georgia"/>
          <w:b/>
          <w:bCs/>
          <w:color w:val="1F1B16"/>
          <w:sz w:val="32"/>
          <w:szCs w:val="32"/>
        </w:rPr>
        <w:t xml:space="preserve">Chapter 4 — How Does Astrology Operate for the Whole Brain?</w:t>
      </w:r>
    </w:p>
    <w:p>
      <w:pPr>
        <w:keepNext/>
        <w:spacing w:after="60" w:before="200"/>
      </w:pPr>
      <w:r>
        <w:rPr>
          <w:rFonts w:ascii="Georgia" w:cs="Georgia" w:eastAsia="Georgia" w:hAnsi="Georgia"/>
          <w:b/>
          <w:bCs/>
          <w:color w:val="B85042"/>
          <w:sz w:val="24"/>
          <w:szCs w:val="24"/>
        </w:rPr>
        <w:t xml:space="preserve">22  </w:t>
      </w:r>
      <w:r>
        <w:rPr>
          <w:rFonts w:ascii="Georgia" w:cs="Georgia" w:eastAsia="Georgia" w:hAnsi="Georgia"/>
          <w:b/>
          <w:bCs/>
          <w:i w:val="false"/>
          <w:iCs w:val="false"/>
          <w:color w:val="1F1B16"/>
          <w:sz w:val="24"/>
          <w:szCs w:val="24"/>
        </w:rPr>
        <w:t xml:space="preserve">Chapter 04: How Does Astrology Operate for the Whole Brain?</w:t>
      </w:r>
      <w:r>
        <w:t xml:space="preserve">   </w:t>
      </w:r>
      <w:r>
        <w:rPr>
          <w:rFonts w:ascii="Georgia" w:cs="Georgia" w:eastAsia="Georgia" w:hAnsi="Georgia"/>
          <w:b/>
          <w:bCs/>
          <w:color w:val="FFFFFF"/>
          <w:sz w:val="14"/>
          <w:szCs w:val="14"/>
          <w:shd w:fill="5F5651" w:color="5F5651" w:val="clear"/>
        </w:rPr>
        <w:t xml:space="preserve"> N/A </w:t>
      </w:r>
    </w:p>
    <w:p>
      <w:pPr>
        <w:spacing w:after="80"/>
        <w:jc w:val="both"/>
      </w:pPr>
      <w:r>
        <w:rPr>
          <w:rFonts w:ascii="EB Garamond" w:cs="EB Garamond" w:eastAsia="EB Garamond" w:hAnsi="EB Garamond"/>
          <w:i w:val="false"/>
          <w:iCs w:val="false"/>
          <w:color w:val="1F1B16"/>
          <w:sz w:val="22"/>
          <w:szCs w:val="22"/>
        </w:rPr>
        <w:t xml:space="preserve">Chapter divider with the book title </w:t>
      </w:r>
      <w:r>
        <w:rPr>
          <w:rFonts w:ascii="EB Garamond" w:cs="EB Garamond" w:eastAsia="EB Garamond" w:hAnsi="EB Garamond"/>
          <w:i/>
          <w:iCs/>
          <w:color w:val="1F1B16"/>
          <w:sz w:val="22"/>
          <w:szCs w:val="22"/>
        </w:rPr>
        <w:t xml:space="preserve">The Sundial and the Lunar Eye</w:t>
      </w:r>
      <w:r>
        <w:rPr>
          <w:rFonts w:ascii="EB Garamond" w:cs="EB Garamond" w:eastAsia="EB Garamond" w:hAnsi="EB Garamond"/>
          <w:i w:val="false"/>
          <w:iCs w:val="false"/>
          <w:color w:val="1F1B16"/>
          <w:sz w:val="22"/>
          <w:szCs w:val="22"/>
        </w:rPr>
        <w:t xml:space="preserve">: left and right hemisphere, master and emissary, wheel and line.</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[1]</w:t>
      </w:r>
    </w:p>
    <w:p>
      <w:pPr>
        <w:keepNext/>
        <w:spacing w:after="60" w:before="200"/>
      </w:pPr>
      <w:r>
        <w:rPr>
          <w:rFonts w:ascii="Georgia" w:cs="Georgia" w:eastAsia="Georgia" w:hAnsi="Georgia"/>
          <w:b/>
          <w:bCs/>
          <w:color w:val="B85042"/>
          <w:sz w:val="24"/>
          <w:szCs w:val="24"/>
        </w:rPr>
        <w:t xml:space="preserve">23  </w:t>
      </w:r>
      <w:r>
        <w:rPr>
          <w:rFonts w:ascii="Georgia" w:cs="Georgia" w:eastAsia="Georgia" w:hAnsi="Georgia"/>
          <w:b/>
          <w:bCs/>
          <w:i w:val="false"/>
          <w:iCs w:val="false"/>
          <w:color w:val="1F1B16"/>
          <w:sz w:val="24"/>
          <w:szCs w:val="24"/>
        </w:rPr>
        <w:t xml:space="preserve">Two Different Experiences of Time</w:t>
      </w:r>
      <w:r>
        <w:t xml:space="preserve">   </w:t>
      </w:r>
      <w:r>
        <w:rPr>
          <w:rFonts w:ascii="Georgia" w:cs="Georgia" w:eastAsia="Georgia" w:hAnsi="Georgia"/>
          <w:b/>
          <w:bCs/>
          <w:color w:val="FFFFFF"/>
          <w:sz w:val="14"/>
          <w:szCs w:val="14"/>
          <w:shd w:fill="8B6914" w:color="8B6914" w:val="clear"/>
        </w:rPr>
        <w:t xml:space="preserve"> FRONTIER </w:t>
      </w:r>
    </w:p>
    <w:p>
      <w:pPr>
        <w:spacing w:after="80"/>
        <w:jc w:val="both"/>
      </w:pPr>
      <w:r>
        <w:rPr>
          <w:rFonts w:ascii="EB Garamond" w:cs="EB Garamond" w:eastAsia="EB Garamond" w:hAnsi="EB Garamond"/>
          <w:i w:val="false"/>
          <w:iCs w:val="false"/>
          <w:color w:val="1F1B16"/>
          <w:sz w:val="22"/>
          <w:szCs w:val="22"/>
        </w:rPr>
        <w:t xml:space="preserve">The wheel (cyclical, lived, embodied — light, tide, hunger, sleep) and the line (calculated, sequential, metered against an external clock: 'one-Mississippi, two-Mississippi'). The body lives on both at once. AI runs entirely on linear time; astrology keeps a linear clock and a cyclical one and requires that they be read together. The cyclical/linear typology of time is a standard anthropological distinction; the hemispheric mapping is McGilchrist's.</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[37] [38] [2]</w:t>
      </w:r>
    </w:p>
    <w:p>
      <w:pPr>
        <w:keepNext/>
        <w:spacing w:after="60" w:before="200"/>
      </w:pPr>
      <w:r>
        <w:rPr>
          <w:rFonts w:ascii="Georgia" w:cs="Georgia" w:eastAsia="Georgia" w:hAnsi="Georgia"/>
          <w:b/>
          <w:bCs/>
          <w:color w:val="B85042"/>
          <w:sz w:val="24"/>
          <w:szCs w:val="24"/>
        </w:rPr>
        <w:t xml:space="preserve">24  </w:t>
      </w:r>
      <w:r>
        <w:rPr>
          <w:rFonts w:ascii="Georgia" w:cs="Georgia" w:eastAsia="Georgia" w:hAnsi="Georgia"/>
          <w:b/>
          <w:bCs/>
          <w:i w:val="false"/>
          <w:iCs w:val="false"/>
          <w:color w:val="1F1B16"/>
          <w:sz w:val="24"/>
          <w:szCs w:val="24"/>
        </w:rPr>
        <w:t xml:space="preserve">Two Sky-Clocks (reprise)</w:t>
      </w:r>
      <w:r>
        <w:t xml:space="preserve">   </w:t>
      </w:r>
      <w:r>
        <w:rPr>
          <w:rFonts w:ascii="Georgia" w:cs="Georgia" w:eastAsia="Georgia" w:hAnsi="Georgia"/>
          <w:b/>
          <w:bCs/>
          <w:color w:val="FFFFFF"/>
          <w:sz w:val="14"/>
          <w:szCs w:val="14"/>
          <w:shd w:fill="3E6B3A" w:color="3E6B3A" w:val="clear"/>
        </w:rPr>
        <w:t xml:space="preserve"> ACCEPTED </w:t>
      </w:r>
    </w:p>
    <w:p>
      <w:pPr>
        <w:spacing w:after="80"/>
        <w:jc w:val="both"/>
      </w:pPr>
      <w:r>
        <w:rPr>
          <w:rFonts w:ascii="EB Garamond" w:cs="EB Garamond" w:eastAsia="EB Garamond" w:hAnsi="EB Garamond"/>
          <w:i w:val="false"/>
          <w:iCs w:val="false"/>
          <w:color w:val="1F1B16"/>
          <w:sz w:val="22"/>
          <w:szCs w:val="22"/>
        </w:rPr>
        <w:t xml:space="preserve">Repeat of slide 9, now positioned to introduce the linear (transit) versus cyclical (progression) case study that follows.</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[16] [17]</w:t>
      </w:r>
    </w:p>
    <w:p>
      <w:pPr>
        <w:keepNext/>
        <w:spacing w:after="60" w:before="200"/>
      </w:pPr>
      <w:r>
        <w:rPr>
          <w:rFonts w:ascii="Georgia" w:cs="Georgia" w:eastAsia="Georgia" w:hAnsi="Georgia"/>
          <w:b/>
          <w:bCs/>
          <w:color w:val="B85042"/>
          <w:sz w:val="24"/>
          <w:szCs w:val="24"/>
        </w:rPr>
        <w:t xml:space="preserve">25  </w:t>
      </w:r>
      <w:r>
        <w:rPr>
          <w:rFonts w:ascii="Georgia" w:cs="Georgia" w:eastAsia="Georgia" w:hAnsi="Georgia"/>
          <w:b/>
          <w:bCs/>
          <w:i w:val="false"/>
          <w:iCs w:val="false"/>
          <w:color w:val="1F1B16"/>
          <w:sz w:val="24"/>
          <w:szCs w:val="24"/>
        </w:rPr>
        <w:t xml:space="preserve">A Patient with Renal Cancer: Natal Chart</w:t>
      </w:r>
      <w:r>
        <w:t xml:space="preserve">   </w:t>
      </w:r>
      <w:r>
        <w:rPr>
          <w:rFonts w:ascii="Georgia" w:cs="Georgia" w:eastAsia="Georgia" w:hAnsi="Georgia"/>
          <w:b/>
          <w:bCs/>
          <w:color w:val="FFFFFF"/>
          <w:sz w:val="14"/>
          <w:szCs w:val="14"/>
          <w:shd w:fill="6D2E46" w:color="6D2E46" w:val="clear"/>
        </w:rPr>
        <w:t xml:space="preserve"> SYMBOLIC </w:t>
      </w:r>
    </w:p>
    <w:p>
      <w:pPr>
        <w:spacing w:after="80"/>
        <w:jc w:val="both"/>
      </w:pPr>
      <w:r>
        <w:rPr>
          <w:rFonts w:ascii="EB Garamond" w:cs="EB Garamond" w:eastAsia="EB Garamond" w:hAnsi="EB Garamond"/>
          <w:i w:val="false"/>
          <w:iCs w:val="false"/>
          <w:color w:val="1F1B16"/>
          <w:sz w:val="22"/>
          <w:szCs w:val="22"/>
        </w:rPr>
        <w:t xml:space="preserve">Clinical illustration (educational, not diagnostic). Natal chart of a patient diagnosed with renal cancer at 54. Points made: a sixth-house stellium (the house of illness in traditional medical astrology) with Venus — ruler of the kidneys in the classical assignment — conjunct the Moon; Jupiter as Lord of the Geniture, which traditional doctrine ties to constitutional health.</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[19] [39] [1]</w:t>
      </w:r>
    </w:p>
    <w:p>
      <w:pPr>
        <w:keepNext/>
        <w:spacing w:after="60" w:before="200"/>
      </w:pPr>
      <w:r>
        <w:rPr>
          <w:rFonts w:ascii="Georgia" w:cs="Georgia" w:eastAsia="Georgia" w:hAnsi="Georgia"/>
          <w:b/>
          <w:bCs/>
          <w:color w:val="B85042"/>
          <w:sz w:val="24"/>
          <w:szCs w:val="24"/>
        </w:rPr>
        <w:t xml:space="preserve">26  </w:t>
      </w:r>
      <w:r>
        <w:rPr>
          <w:rFonts w:ascii="Georgia" w:cs="Georgia" w:eastAsia="Georgia" w:hAnsi="Georgia"/>
          <w:b/>
          <w:bCs/>
          <w:i w:val="false"/>
          <w:iCs w:val="false"/>
          <w:color w:val="1F1B16"/>
          <w:sz w:val="24"/>
          <w:szCs w:val="24"/>
        </w:rPr>
        <w:t xml:space="preserve">A Patient with Renal Cancer: Transits &amp; Progressed Moon</w:t>
      </w:r>
      <w:r>
        <w:t xml:space="preserve">   </w:t>
      </w:r>
      <w:r>
        <w:rPr>
          <w:rFonts w:ascii="Georgia" w:cs="Georgia" w:eastAsia="Georgia" w:hAnsi="Georgia"/>
          <w:b/>
          <w:bCs/>
          <w:color w:val="FFFFFF"/>
          <w:sz w:val="14"/>
          <w:szCs w:val="14"/>
          <w:shd w:fill="6D2E46" w:color="6D2E46" w:val="clear"/>
        </w:rPr>
        <w:t xml:space="preserve"> SYMBOLIC </w:t>
      </w:r>
    </w:p>
    <w:p>
      <w:pPr>
        <w:spacing w:after="80"/>
        <w:jc w:val="both"/>
      </w:pPr>
      <w:r>
        <w:rPr>
          <w:rFonts w:ascii="EB Garamond" w:cs="EB Garamond" w:eastAsia="EB Garamond" w:hAnsi="EB Garamond"/>
          <w:i w:val="false"/>
          <w:iCs w:val="false"/>
          <w:color w:val="1F1B16"/>
          <w:sz w:val="22"/>
          <w:szCs w:val="22"/>
        </w:rPr>
        <w:t xml:space="preserve">Spiral plot of the progressed Moon from birth: first return at age 29 (1997), second return coinciding with the cancer diagnosis, while transiting Jupiter opposed the natal Sun and Saturn squared it. The transit is the trigger that satisfies narrow-mode logic; the progressed-Moon return is the life phase that gives the event meaning. The notes raise the open question whether the body carries its major stress points as embodied cycles.</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[40] [41] [1]</w:t>
      </w:r>
    </w:p>
    <w:p>
      <w:pPr>
        <w:keepNext/>
        <w:spacing w:after="60" w:before="200"/>
      </w:pPr>
      <w:r>
        <w:rPr>
          <w:rFonts w:ascii="Georgia" w:cs="Georgia" w:eastAsia="Georgia" w:hAnsi="Georgia"/>
          <w:b/>
          <w:bCs/>
          <w:color w:val="B85042"/>
          <w:sz w:val="24"/>
          <w:szCs w:val="24"/>
        </w:rPr>
        <w:t xml:space="preserve">27  </w:t>
      </w:r>
      <w:r>
        <w:rPr>
          <w:rFonts w:ascii="Georgia" w:cs="Georgia" w:eastAsia="Georgia" w:hAnsi="Georgia"/>
          <w:b/>
          <w:bCs/>
          <w:i w:val="false"/>
          <w:iCs w:val="false"/>
          <w:color w:val="1F1B16"/>
          <w:sz w:val="24"/>
          <w:szCs w:val="24"/>
        </w:rPr>
        <w:t xml:space="preserve">Transit and Progression: Two Kinds of Motion</w:t>
      </w:r>
      <w:r>
        <w:t xml:space="preserve">   </w:t>
      </w:r>
      <w:r>
        <w:rPr>
          <w:rFonts w:ascii="Georgia" w:cs="Georgia" w:eastAsia="Georgia" w:hAnsi="Georgia"/>
          <w:b/>
          <w:bCs/>
          <w:color w:val="FFFFFF"/>
          <w:sz w:val="14"/>
          <w:szCs w:val="14"/>
          <w:shd w:fill="3E6B3A" w:color="3E6B3A" w:val="clear"/>
        </w:rPr>
        <w:t xml:space="preserve"> ACCEPTED </w:t>
      </w:r>
    </w:p>
    <w:p>
      <w:pPr>
        <w:spacing w:after="80"/>
        <w:jc w:val="both"/>
      </w:pPr>
      <w:r>
        <w:rPr>
          <w:rFonts w:ascii="EB Garamond" w:cs="EB Garamond" w:eastAsia="EB Garamond" w:hAnsi="EB Garamond"/>
          <w:i w:val="false"/>
          <w:iCs w:val="false"/>
          <w:color w:val="1F1B16"/>
          <w:sz w:val="22"/>
          <w:szCs w:val="22"/>
        </w:rPr>
        <w:t xml:space="preserve">Transit is line thinking: a planet arrives from outside on a date; its question is 'what is arriving?' and its answer is a weather report. Progression is circle thinking: the chart's own first month replayed at a day for a year; its question is 'where in the story?' and its answer is the plot of a whole life. This is standard technical doctrine; the two-modes gloss is the talk's.</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[40] [19] [1]</w:t>
      </w:r>
      <w:r>
        <w:rPr>
          <w:rFonts w:ascii="EB Garamond" w:cs="EB Garamond" w:eastAsia="EB Garamond" w:hAnsi="EB Garamond"/>
          <w:i/>
          <w:iCs/>
          <w:color w:val="5F5651"/>
          <w:sz w:val="19"/>
          <w:szCs w:val="19"/>
        </w:rPr>
        <w:t xml:space="preserve">  ·  ACCEPTED (doctrine)</w:t>
      </w:r>
    </w:p>
    <w:p>
      <w:pPr>
        <w:keepNext/>
        <w:spacing w:after="60" w:before="200"/>
      </w:pPr>
      <w:r>
        <w:rPr>
          <w:rFonts w:ascii="Georgia" w:cs="Georgia" w:eastAsia="Georgia" w:hAnsi="Georgia"/>
          <w:b/>
          <w:bCs/>
          <w:color w:val="B85042"/>
          <w:sz w:val="24"/>
          <w:szCs w:val="24"/>
        </w:rPr>
        <w:t xml:space="preserve">28  </w:t>
      </w:r>
      <w:r>
        <w:rPr>
          <w:rFonts w:ascii="Georgia" w:cs="Georgia" w:eastAsia="Georgia" w:hAnsi="Georgia"/>
          <w:b/>
          <w:bCs/>
          <w:i w:val="false"/>
          <w:iCs w:val="false"/>
          <w:color w:val="1F1B16"/>
          <w:sz w:val="24"/>
          <w:szCs w:val="24"/>
        </w:rPr>
        <w:t xml:space="preserve">Brando: Three Turns of the Progressed Moon</w:t>
      </w:r>
      <w:r>
        <w:t xml:space="preserve">   </w:t>
      </w:r>
      <w:r>
        <w:rPr>
          <w:rFonts w:ascii="Georgia" w:cs="Georgia" w:eastAsia="Georgia" w:hAnsi="Georgia"/>
          <w:b/>
          <w:bCs/>
          <w:color w:val="FFFFFF"/>
          <w:sz w:val="14"/>
          <w:szCs w:val="14"/>
          <w:shd w:fill="6D2E46" w:color="6D2E46" w:val="clear"/>
        </w:rPr>
        <w:t xml:space="preserve"> SYMBOLIC </w:t>
      </w:r>
    </w:p>
    <w:p>
      <w:pPr>
        <w:spacing w:after="80"/>
        <w:jc w:val="both"/>
      </w:pPr>
      <w:r>
        <w:rPr>
          <w:rFonts w:ascii="EB Garamond" w:cs="EB Garamond" w:eastAsia="EB Garamond" w:hAnsi="EB Garamond"/>
          <w:i w:val="false"/>
          <w:iCs w:val="false"/>
          <w:color w:val="1F1B16"/>
          <w:sz w:val="22"/>
          <w:szCs w:val="22"/>
        </w:rPr>
        <w:t xml:space="preserve">Marlon Brando's career plotted on the progressed lunation cycle (angle = progressed Moon-to-Sun phase, radius = age, one turn per 29½ years). Six landmark films fall at phase inflection points — </w:t>
      </w:r>
      <w:r>
        <w:rPr>
          <w:rFonts w:ascii="EB Garamond" w:cs="EB Garamond" w:eastAsia="EB Garamond" w:hAnsi="EB Garamond"/>
          <w:i/>
          <w:iCs/>
          <w:color w:val="1F1B16"/>
          <w:sz w:val="22"/>
          <w:szCs w:val="22"/>
        </w:rPr>
        <w:t xml:space="preserve">On the Waterfront</w:t>
      </w:r>
      <w:r>
        <w:rPr>
          <w:rFonts w:ascii="EB Garamond" w:cs="EB Garamond" w:eastAsia="EB Garamond" w:hAnsi="EB Garamond"/>
          <w:i w:val="false"/>
          <w:iCs w:val="false"/>
          <w:color w:val="1F1B16"/>
          <w:sz w:val="22"/>
          <w:szCs w:val="22"/>
        </w:rPr>
        <w:t xml:space="preserve"> at the first progressed New Moon, </w:t>
      </w:r>
      <w:r>
        <w:rPr>
          <w:rFonts w:ascii="EB Garamond" w:cs="EB Garamond" w:eastAsia="EB Garamond" w:hAnsi="EB Garamond"/>
          <w:i/>
          <w:iCs/>
          <w:color w:val="1F1B16"/>
          <w:sz w:val="22"/>
          <w:szCs w:val="22"/>
        </w:rPr>
        <w:t xml:space="preserve">Streetcar</w:t>
      </w:r>
      <w:r>
        <w:rPr>
          <w:rFonts w:ascii="EB Garamond" w:cs="EB Garamond" w:eastAsia="EB Garamond" w:hAnsi="EB Garamond"/>
          <w:i w:val="false"/>
          <w:iCs w:val="false"/>
          <w:color w:val="1F1B16"/>
          <w:sz w:val="22"/>
          <w:szCs w:val="22"/>
        </w:rPr>
        <w:t xml:space="preserve"> and </w:t>
      </w:r>
      <w:r>
        <w:rPr>
          <w:rFonts w:ascii="EB Garamond" w:cs="EB Garamond" w:eastAsia="EB Garamond" w:hAnsi="EB Garamond"/>
          <w:i/>
          <w:iCs/>
          <w:color w:val="1F1B16"/>
          <w:sz w:val="22"/>
          <w:szCs w:val="22"/>
        </w:rPr>
        <w:t xml:space="preserve">Apocalypse Now</w:t>
      </w:r>
      <w:r>
        <w:rPr>
          <w:rFonts w:ascii="EB Garamond" w:cs="EB Garamond" w:eastAsia="EB Garamond" w:hAnsi="EB Garamond"/>
          <w:i w:val="false"/>
          <w:iCs w:val="false"/>
          <w:color w:val="1F1B16"/>
          <w:sz w:val="22"/>
          <w:szCs w:val="22"/>
        </w:rPr>
        <w:t xml:space="preserve"> in the Balsamic phase, and so on. The point: an intuitive reading is not a guess — the cycle is in the ephemeris; intuition is knowing which turn matters. Rudhyar's lunation-phase framework is the method. Six data points on one life are an illustration, not evidence.</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[41] [42] [43] [1]</w:t>
      </w:r>
    </w:p>
    <w:p>
      <w:pPr>
        <w:keepNext/>
        <w:spacing w:after="60" w:before="200"/>
      </w:pPr>
      <w:r>
        <w:rPr>
          <w:rFonts w:ascii="Georgia" w:cs="Georgia" w:eastAsia="Georgia" w:hAnsi="Georgia"/>
          <w:b/>
          <w:bCs/>
          <w:color w:val="B85042"/>
          <w:sz w:val="24"/>
          <w:szCs w:val="24"/>
        </w:rPr>
        <w:t xml:space="preserve">29  </w:t>
      </w:r>
      <w:r>
        <w:rPr>
          <w:rFonts w:ascii="Georgia" w:cs="Georgia" w:eastAsia="Georgia" w:hAnsi="Georgia"/>
          <w:b/>
          <w:bCs/>
          <w:i w:val="false"/>
          <w:iCs w:val="false"/>
          <w:color w:val="1F1B16"/>
          <w:sz w:val="24"/>
          <w:szCs w:val="24"/>
        </w:rPr>
        <w:t xml:space="preserve">Saturn Returns — Linear and Cyclic</w:t>
      </w:r>
      <w:r>
        <w:t xml:space="preserve">   </w:t>
      </w:r>
      <w:r>
        <w:rPr>
          <w:rFonts w:ascii="Georgia" w:cs="Georgia" w:eastAsia="Georgia" w:hAnsi="Georgia"/>
          <w:b/>
          <w:bCs/>
          <w:color w:val="FFFFFF"/>
          <w:sz w:val="14"/>
          <w:szCs w:val="14"/>
          <w:shd w:fill="3E6B3A" w:color="3E6B3A" w:val="clear"/>
        </w:rPr>
        <w:t xml:space="preserve"> ACCEPTED </w:t>
      </w:r>
    </w:p>
    <w:p>
      <w:pPr>
        <w:spacing w:after="80"/>
        <w:jc w:val="both"/>
      </w:pPr>
      <w:r>
        <w:rPr>
          <w:rFonts w:ascii="EB Garamond" w:cs="EB Garamond" w:eastAsia="EB Garamond" w:hAnsi="EB Garamond"/>
          <w:i w:val="false"/>
          <w:iCs w:val="false"/>
          <w:color w:val="1F1B16"/>
          <w:sz w:val="22"/>
          <w:szCs w:val="22"/>
        </w:rPr>
        <w:t xml:space="preserve">Saturn returns to its natal degree about every 29.46 years (the wheel), but the native does not return to the same age (the climb): birth, first return at 29 (the adult), second at 59 (the elder). Linearity marks aging with one beginning and one end; cycles mark evolution with recurring beginnings and endings. The orbital period is astronomical fact; the life-stage reading is tradition.</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[44] [45]</w:t>
      </w:r>
    </w:p>
    <w:p>
      <w:pPr>
        <w:keepNext/>
        <w:spacing w:after="60" w:before="200"/>
      </w:pPr>
      <w:r>
        <w:rPr>
          <w:rFonts w:ascii="Georgia" w:cs="Georgia" w:eastAsia="Georgia" w:hAnsi="Georgia"/>
          <w:b/>
          <w:bCs/>
          <w:color w:val="B85042"/>
          <w:sz w:val="24"/>
          <w:szCs w:val="24"/>
        </w:rPr>
        <w:t xml:space="preserve">30  </w:t>
      </w:r>
      <w:r>
        <w:rPr>
          <w:rFonts w:ascii="Georgia" w:cs="Georgia" w:eastAsia="Georgia" w:hAnsi="Georgia"/>
          <w:b/>
          <w:bCs/>
          <w:i w:val="false"/>
          <w:iCs w:val="false"/>
          <w:color w:val="1F1B16"/>
          <w:sz w:val="24"/>
          <w:szCs w:val="24"/>
        </w:rPr>
        <w:t xml:space="preserve">Kinks in the Helix</w:t>
      </w:r>
      <w:r>
        <w:t xml:space="preserve">   </w:t>
      </w:r>
      <w:r>
        <w:rPr>
          <w:rFonts w:ascii="Georgia" w:cs="Georgia" w:eastAsia="Georgia" w:hAnsi="Georgia"/>
          <w:b/>
          <w:bCs/>
          <w:color w:val="FFFFFF"/>
          <w:sz w:val="14"/>
          <w:szCs w:val="14"/>
          <w:shd w:fill="8B6914" w:color="8B6914" w:val="clear"/>
        </w:rPr>
        <w:t xml:space="preserve"> FRONTIER </w:t>
      </w:r>
    </w:p>
    <w:p>
      <w:pPr>
        <w:spacing w:after="80"/>
        <w:jc w:val="both"/>
      </w:pPr>
      <w:r>
        <w:rPr>
          <w:rFonts w:ascii="EB Garamond" w:cs="EB Garamond" w:eastAsia="EB Garamond" w:hAnsi="EB Garamond"/>
          <w:i w:val="false"/>
          <w:iCs w:val="false"/>
          <w:color w:val="1F1B16"/>
          <w:sz w:val="22"/>
          <w:szCs w:val="22"/>
        </w:rPr>
        <w:t xml:space="preserve">Anthony Aveni's image: linear and cyclical time combine into a helix, each turn passing the same places one level higher. On a smooth coil position is undefinable; the kinks — solstice, new moon, the flood — make time legible. The breaks, not the continuity, are what cultures mark and remember. This is an interpretive model from archaeoastronomy, not a measurement.</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[38]</w:t>
      </w:r>
    </w:p>
    <w:p>
      <w:pPr>
        <w:keepNext/>
        <w:spacing w:after="60" w:before="200"/>
      </w:pPr>
      <w:r>
        <w:rPr>
          <w:rFonts w:ascii="Georgia" w:cs="Georgia" w:eastAsia="Georgia" w:hAnsi="Georgia"/>
          <w:b/>
          <w:bCs/>
          <w:color w:val="B85042"/>
          <w:sz w:val="24"/>
          <w:szCs w:val="24"/>
        </w:rPr>
        <w:t xml:space="preserve">31  </w:t>
      </w:r>
      <w:r>
        <w:rPr>
          <w:rFonts w:ascii="Georgia" w:cs="Georgia" w:eastAsia="Georgia" w:hAnsi="Georgia"/>
          <w:b/>
          <w:bCs/>
          <w:i w:val="false"/>
          <w:iCs w:val="false"/>
          <w:color w:val="1F1B16"/>
          <w:sz w:val="24"/>
          <w:szCs w:val="24"/>
        </w:rPr>
        <w:t xml:space="preserve">Line, Circle, Spiral</w:t>
      </w:r>
      <w:r>
        <w:t xml:space="preserve">   </w:t>
      </w:r>
      <w:r>
        <w:rPr>
          <w:rFonts w:ascii="Georgia" w:cs="Georgia" w:eastAsia="Georgia" w:hAnsi="Georgia"/>
          <w:b/>
          <w:bCs/>
          <w:color w:val="FFFFFF"/>
          <w:sz w:val="14"/>
          <w:szCs w:val="14"/>
          <w:shd w:fill="8B6914" w:color="8B6914" w:val="clear"/>
        </w:rPr>
        <w:t xml:space="preserve"> FRONTIER </w:t>
      </w:r>
    </w:p>
    <w:p>
      <w:pPr>
        <w:spacing w:after="80"/>
        <w:jc w:val="both"/>
      </w:pPr>
      <w:r>
        <w:rPr>
          <w:rFonts w:ascii="EB Garamond" w:cs="EB Garamond" w:eastAsia="EB Garamond" w:hAnsi="EB Garamond"/>
          <w:i w:val="false"/>
          <w:iCs w:val="false"/>
          <w:color w:val="1F1B16"/>
          <w:sz w:val="22"/>
          <w:szCs w:val="22"/>
        </w:rPr>
        <w:t xml:space="preserve">The line alone: the future is a void, the past is gone — anxiety and regret, the only time the machine keeps. The circle alone: every season returns, nothing is lost — patience, but nothing goes anywhere. The spiral: the same configuration returns across a life, but you are a moving target and never meet it the same way twice. Cycles give the themes; the line gives the development. Reading both requires a nervous system that can hold both senses of time.</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[38] [37] [2] [1]</w:t>
      </w:r>
    </w:p>
    <w:p>
      <w:pPr>
        <w:keepNext/>
        <w:spacing w:after="60" w:before="200"/>
      </w:pPr>
      <w:r>
        <w:rPr>
          <w:rFonts w:ascii="Georgia" w:cs="Georgia" w:eastAsia="Georgia" w:hAnsi="Georgia"/>
          <w:b/>
          <w:bCs/>
          <w:color w:val="B85042"/>
          <w:sz w:val="24"/>
          <w:szCs w:val="24"/>
        </w:rPr>
        <w:t xml:space="preserve">32  </w:t>
      </w:r>
      <w:r>
        <w:rPr>
          <w:rFonts w:ascii="Georgia" w:cs="Georgia" w:eastAsia="Georgia" w:hAnsi="Georgia"/>
          <w:b/>
          <w:bCs/>
          <w:i w:val="false"/>
          <w:iCs w:val="false"/>
          <w:color w:val="1F1B16"/>
          <w:sz w:val="24"/>
          <w:szCs w:val="24"/>
        </w:rPr>
        <w:t xml:space="preserve">Waterspot (video)</w:t>
      </w:r>
      <w:r>
        <w:t xml:space="preserve">   </w:t>
      </w:r>
      <w:r>
        <w:rPr>
          <w:rFonts w:ascii="Georgia" w:cs="Georgia" w:eastAsia="Georgia" w:hAnsi="Georgia"/>
          <w:b/>
          <w:bCs/>
          <w:color w:val="FFFFFF"/>
          <w:sz w:val="14"/>
          <w:szCs w:val="14"/>
          <w:shd w:fill="5F5651" w:color="5F5651" w:val="clear"/>
        </w:rPr>
        <w:t xml:space="preserve"> N/A </w:t>
      </w:r>
    </w:p>
    <w:p>
      <w:pPr>
        <w:spacing w:after="80"/>
        <w:jc w:val="both"/>
      </w:pPr>
      <w:r>
        <w:rPr>
          <w:rFonts w:ascii="EB Garamond" w:cs="EB Garamond" w:eastAsia="EB Garamond" w:hAnsi="EB Garamond"/>
          <w:i w:val="false"/>
          <w:iCs w:val="false"/>
          <w:color w:val="1F1B16"/>
          <w:sz w:val="22"/>
          <w:szCs w:val="22"/>
        </w:rPr>
        <w:t xml:space="preserve">Embedded video of a river in storm. Functions as a visual rest and an image of cyclical turbulence within linear flow. No caption or credit on the slide.</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[46]</w:t>
      </w:r>
    </w:p>
    <w:p>
      <w:pPr>
        <w:keepNext/>
        <w:spacing w:after="60" w:before="200"/>
      </w:pPr>
      <w:r>
        <w:rPr>
          <w:rFonts w:ascii="Georgia" w:cs="Georgia" w:eastAsia="Georgia" w:hAnsi="Georgia"/>
          <w:b/>
          <w:bCs/>
          <w:color w:val="B85042"/>
          <w:sz w:val="24"/>
          <w:szCs w:val="24"/>
        </w:rPr>
        <w:t xml:space="preserve">33  </w:t>
      </w:r>
      <w:r>
        <w:rPr>
          <w:rFonts w:ascii="Georgia" w:cs="Georgia" w:eastAsia="Georgia" w:hAnsi="Georgia"/>
          <w:b/>
          <w:bCs/>
          <w:i w:val="false"/>
          <w:iCs w:val="false"/>
          <w:color w:val="1F1B16"/>
          <w:sz w:val="24"/>
          <w:szCs w:val="24"/>
        </w:rPr>
        <w:t xml:space="preserve">Embryo (video)</w:t>
      </w:r>
      <w:r>
        <w:t xml:space="preserve">   </w:t>
      </w:r>
      <w:r>
        <w:rPr>
          <w:rFonts w:ascii="Georgia" w:cs="Georgia" w:eastAsia="Georgia" w:hAnsi="Georgia"/>
          <w:b/>
          <w:bCs/>
          <w:color w:val="FFFFFF"/>
          <w:sz w:val="14"/>
          <w:szCs w:val="14"/>
          <w:shd w:fill="5F5651" w:color="5F5651" w:val="clear"/>
        </w:rPr>
        <w:t xml:space="preserve"> N/A </w:t>
      </w:r>
    </w:p>
    <w:p>
      <w:pPr>
        <w:spacing w:after="80"/>
        <w:jc w:val="both"/>
      </w:pPr>
      <w:r>
        <w:rPr>
          <w:rFonts w:ascii="EB Garamond" w:cs="EB Garamond" w:eastAsia="EB Garamond" w:hAnsi="EB Garamond"/>
          <w:i w:val="false"/>
          <w:iCs w:val="false"/>
          <w:color w:val="1F1B16"/>
          <w:sz w:val="22"/>
          <w:szCs w:val="22"/>
        </w:rPr>
        <w:t xml:space="preserve">Embedded video of an embryo; renders black in export. Presumably illustrates developmental cycles nested in linear growth. No caption or credit on the slide.</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[47]</w:t>
      </w:r>
    </w:p>
    <w:p>
      <w:pPr>
        <w:keepNext/>
        <w:spacing w:after="60" w:before="200"/>
      </w:pPr>
      <w:r>
        <w:rPr>
          <w:rFonts w:ascii="Georgia" w:cs="Georgia" w:eastAsia="Georgia" w:hAnsi="Georgia"/>
          <w:b/>
          <w:bCs/>
          <w:color w:val="B85042"/>
          <w:sz w:val="24"/>
          <w:szCs w:val="24"/>
        </w:rPr>
        <w:t xml:space="preserve">34  </w:t>
      </w:r>
      <w:r>
        <w:rPr>
          <w:rFonts w:ascii="Georgia" w:cs="Georgia" w:eastAsia="Georgia" w:hAnsi="Georgia"/>
          <w:b/>
          <w:bCs/>
          <w:i w:val="false"/>
          <w:iCs w:val="false"/>
          <w:color w:val="1F1B16"/>
          <w:sz w:val="24"/>
          <w:szCs w:val="24"/>
        </w:rPr>
        <w:t xml:space="preserve">Proposition about Time and Free Will</w:t>
      </w:r>
      <w:r>
        <w:t xml:space="preserve">   </w:t>
      </w:r>
      <w:r>
        <w:rPr>
          <w:rFonts w:ascii="Georgia" w:cs="Georgia" w:eastAsia="Georgia" w:hAnsi="Georgia"/>
          <w:b/>
          <w:bCs/>
          <w:color w:val="FFFFFF"/>
          <w:sz w:val="14"/>
          <w:szCs w:val="14"/>
          <w:shd w:fill="6E2424" w:color="6E2424" w:val="clear"/>
        </w:rPr>
        <w:t xml:space="preserve"> SPECULATIVE </w:t>
      </w:r>
    </w:p>
    <w:p>
      <w:pPr>
        <w:spacing w:after="80"/>
        <w:jc w:val="both"/>
      </w:pPr>
      <w:r>
        <w:rPr>
          <w:rFonts w:ascii="EB Garamond" w:cs="EB Garamond" w:eastAsia="EB Garamond" w:hAnsi="EB Garamond"/>
          <w:i w:val="false"/>
          <w:iCs w:val="false"/>
          <w:color w:val="1F1B16"/>
          <w:sz w:val="22"/>
          <w:szCs w:val="22"/>
        </w:rPr>
        <w:t xml:space="preserve">Linear time as the ruler (one direction, equal steps, hard edges); cyclical time as the ripple (return and rhythm, never the same twice). The synthesis: a wave runs fast or slow, high or low, but its running average stays inside a container. The notes state the proposition: free will emerges from the synergy of the two modes, the left mode providing boundaries within which the right mode drifts — biological cycles such as the menstrual cycle as an example. Clearly labeled a proposition on the slide; keep it so.</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[15] [3] [1]</w:t>
      </w:r>
    </w:p>
    <w:p>
      <w:pPr>
        <w:pStyle w:val="Heading1"/>
        <w:pBdr>
          <w:bottom w:val="single" w:color="B85042" w:sz="12" w:space="4"/>
        </w:pBdr>
        <w:spacing w:after="160" w:before="360"/>
      </w:pPr>
      <w:r>
        <w:rPr>
          <w:rFonts w:ascii="Georgia" w:cs="Georgia" w:eastAsia="Georgia" w:hAnsi="Georgia"/>
          <w:b/>
          <w:bCs/>
          <w:color w:val="1F1B16"/>
          <w:sz w:val="32"/>
          <w:szCs w:val="32"/>
        </w:rPr>
        <w:t xml:space="preserve">Chapter 5 — The Metacrisis</w:t>
      </w:r>
    </w:p>
    <w:p>
      <w:pPr>
        <w:keepNext/>
        <w:spacing w:after="60" w:before="200"/>
      </w:pPr>
      <w:r>
        <w:rPr>
          <w:rFonts w:ascii="Georgia" w:cs="Georgia" w:eastAsia="Georgia" w:hAnsi="Georgia"/>
          <w:b/>
          <w:bCs/>
          <w:color w:val="B85042"/>
          <w:sz w:val="24"/>
          <w:szCs w:val="24"/>
        </w:rPr>
        <w:t xml:space="preserve">35  </w:t>
      </w:r>
      <w:r>
        <w:rPr>
          <w:rFonts w:ascii="Georgia" w:cs="Georgia" w:eastAsia="Georgia" w:hAnsi="Georgia"/>
          <w:b/>
          <w:bCs/>
          <w:i w:val="false"/>
          <w:iCs w:val="false"/>
          <w:color w:val="1F1B16"/>
          <w:sz w:val="24"/>
          <w:szCs w:val="24"/>
        </w:rPr>
        <w:t xml:space="preserve">Chapter 05: The Metacrisis — When the Left Hemisphere Takes Over</w:t>
      </w:r>
      <w:r>
        <w:t xml:space="preserve">   </w:t>
      </w:r>
      <w:r>
        <w:rPr>
          <w:rFonts w:ascii="Georgia" w:cs="Georgia" w:eastAsia="Georgia" w:hAnsi="Georgia"/>
          <w:b/>
          <w:bCs/>
          <w:color w:val="FFFFFF"/>
          <w:sz w:val="14"/>
          <w:szCs w:val="14"/>
          <w:shd w:fill="8B6914" w:color="8B6914" w:val="clear"/>
        </w:rPr>
        <w:t xml:space="preserve"> FRONTIER </w:t>
      </w:r>
    </w:p>
    <w:p>
      <w:pPr>
        <w:spacing w:after="80"/>
        <w:jc w:val="both"/>
      </w:pPr>
      <w:r>
        <w:rPr>
          <w:rFonts w:ascii="EB Garamond" w:cs="EB Garamond" w:eastAsia="EB Garamond" w:hAnsi="EB Garamond"/>
          <w:i w:val="false"/>
          <w:iCs w:val="false"/>
          <w:color w:val="1F1B16"/>
          <w:sz w:val="22"/>
          <w:szCs w:val="22"/>
        </w:rPr>
        <w:t xml:space="preserve">Chapter divider. McGilchrist's diagnosis that modern culture is in a 'metacrisis' in which left-hemisphere linear thinking has displaced right-hemisphere intuition. The notes preload the calendar material used on the next slide (Maya Tzolkin and Haab, Aztec tonalpohualli, Hebrew lunar months, the Gregorian reform of 1582) and the ontological contrast: cyclical time situates humans in a participatory cosmos; linear time positions humanity as a project accumulating progress. Citations in the notes are Landes 1983 and Aveni 2001.</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[48] [3] [49] [50] [51]</w:t>
      </w:r>
    </w:p>
    <w:p>
      <w:pPr>
        <w:keepNext/>
        <w:spacing w:after="60" w:before="200"/>
      </w:pPr>
      <w:r>
        <w:rPr>
          <w:rFonts w:ascii="Georgia" w:cs="Georgia" w:eastAsia="Georgia" w:hAnsi="Georgia"/>
          <w:b/>
          <w:bCs/>
          <w:color w:val="B85042"/>
          <w:sz w:val="24"/>
          <w:szCs w:val="24"/>
        </w:rPr>
        <w:t xml:space="preserve">36  </w:t>
      </w:r>
      <w:r>
        <w:rPr>
          <w:rFonts w:ascii="Georgia" w:cs="Georgia" w:eastAsia="Georgia" w:hAnsi="Georgia"/>
          <w:b/>
          <w:bCs/>
          <w:i w:val="false"/>
          <w:iCs w:val="false"/>
          <w:color w:val="1F1B16"/>
          <w:sz w:val="24"/>
          <w:szCs w:val="24"/>
        </w:rPr>
        <w:t xml:space="preserve">Evidence for Cyclical Time in the Past</w:t>
      </w:r>
      <w:r>
        <w:t xml:space="preserve">   </w:t>
      </w:r>
      <w:r>
        <w:rPr>
          <w:rFonts w:ascii="Georgia" w:cs="Georgia" w:eastAsia="Georgia" w:hAnsi="Georgia"/>
          <w:b/>
          <w:bCs/>
          <w:color w:val="FFFFFF"/>
          <w:sz w:val="14"/>
          <w:szCs w:val="14"/>
          <w:shd w:fill="5F5651" w:color="5F5651" w:val="clear"/>
        </w:rPr>
        <w:t xml:space="preserve"> MIXED </w:t>
      </w:r>
    </w:p>
    <w:p>
      <w:pPr>
        <w:spacing w:after="80"/>
        <w:jc w:val="both"/>
      </w:pPr>
      <w:r>
        <w:rPr>
          <w:rFonts w:ascii="EB Garamond" w:cs="EB Garamond" w:eastAsia="EB Garamond" w:hAnsi="EB Garamond"/>
          <w:i w:val="false"/>
          <w:iCs w:val="false"/>
          <w:color w:val="1F1B16"/>
          <w:sz w:val="22"/>
          <w:szCs w:val="22"/>
        </w:rPr>
        <w:t xml:space="preserve">Photograph of a stone version of the Maya 260-day calendar at the Smithsonian. Most cultures kept both cyclical and linear time; the Maya built the most elaborate cyclical system — a 365-day solar year meshed with a 260-day count (possibly gestation-length) into a 52-year Calendar Round, roughly a human lifetime. Also cited: the Vedic yuga cycle, Aristotle's cyclical natural processes, and Stoic eternal recurrence. Calendar facts are ACCEPTED; the gestation origin is one hypothesis among several (FRONTIER).</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[52] [50] [53] [54] [55] [56]</w:t>
      </w:r>
    </w:p>
    <w:p>
      <w:pPr>
        <w:keepNext/>
        <w:spacing w:after="60" w:before="200"/>
      </w:pPr>
      <w:r>
        <w:rPr>
          <w:rFonts w:ascii="Georgia" w:cs="Georgia" w:eastAsia="Georgia" w:hAnsi="Georgia"/>
          <w:b/>
          <w:bCs/>
          <w:color w:val="B85042"/>
          <w:sz w:val="24"/>
          <w:szCs w:val="24"/>
        </w:rPr>
        <w:t xml:space="preserve">37  </w:t>
      </w:r>
      <w:r>
        <w:rPr>
          <w:rFonts w:ascii="Georgia" w:cs="Georgia" w:eastAsia="Georgia" w:hAnsi="Georgia"/>
          <w:b/>
          <w:bCs/>
          <w:i w:val="false"/>
          <w:iCs w:val="false"/>
          <w:color w:val="1F1B16"/>
          <w:sz w:val="24"/>
          <w:szCs w:val="24"/>
        </w:rPr>
        <w:t xml:space="preserve">Hesiod, </w:t>
      </w:r>
      <w:r>
        <w:rPr>
          <w:rFonts w:ascii="Georgia" w:cs="Georgia" w:eastAsia="Georgia" w:hAnsi="Georgia"/>
          <w:b/>
          <w:bCs/>
          <w:i/>
          <w:iCs/>
          <w:color w:val="1F1B16"/>
          <w:sz w:val="24"/>
          <w:szCs w:val="24"/>
        </w:rPr>
        <w:t xml:space="preserve">Works and Days</w:t>
      </w:r>
      <w:r>
        <w:rPr>
          <w:rFonts w:ascii="Georgia" w:cs="Georgia" w:eastAsia="Georgia" w:hAnsi="Georgia"/>
          <w:b/>
          <w:bCs/>
          <w:i w:val="false"/>
          <w:iCs w:val="false"/>
          <w:color w:val="1F1B16"/>
          <w:sz w:val="24"/>
          <w:szCs w:val="24"/>
        </w:rPr>
        <w:t xml:space="preserve">: Two Clocks</w:t>
      </w:r>
      <w:r>
        <w:t xml:space="preserve">   </w:t>
      </w:r>
      <w:r>
        <w:rPr>
          <w:rFonts w:ascii="Georgia" w:cs="Georgia" w:eastAsia="Georgia" w:hAnsi="Georgia"/>
          <w:b/>
          <w:bCs/>
          <w:color w:val="FFFFFF"/>
          <w:sz w:val="14"/>
          <w:szCs w:val="14"/>
          <w:shd w:fill="3E6B3A" w:color="3E6B3A" w:val="clear"/>
        </w:rPr>
        <w:t xml:space="preserve"> ACCEPTED </w:t>
      </w:r>
    </w:p>
    <w:p>
      <w:pPr>
        <w:spacing w:after="80"/>
        <w:jc w:val="both"/>
      </w:pPr>
      <w:r>
        <w:rPr>
          <w:rFonts w:ascii="EB Garamond" w:cs="EB Garamond" w:eastAsia="EB Garamond" w:hAnsi="EB Garamond"/>
          <w:i w:val="false"/>
          <w:iCs w:val="false"/>
          <w:color w:val="1F1B16"/>
          <w:sz w:val="22"/>
          <w:szCs w:val="22"/>
        </w:rPr>
        <w:t xml:space="preserve">The oldest Greek book about ordinary life (c. 700 BCE) keeps both clocks. The line: five ages — Gold, Silver, Bronze, Heroes, Iron — each worse than the last; 'would that I were not among the fifth generation' (lines 174–175). The wheel: reap when the Pleiades rise at dawn, plough when they set, prune when Arcturus rises at dusk, rest when Sirius brings the heat, and the Days — which day of the moon to open a jar or bring home a wife. The complaint is linear and helpless; the remedy is cyclical and practicable: learn the calendar. The notes add the grey-templed infants (line 181) as an emblem of a life-cycle scrambled at birth.</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[57]</w:t>
      </w:r>
    </w:p>
    <w:p>
      <w:pPr>
        <w:keepNext/>
        <w:spacing w:after="60" w:before="200"/>
      </w:pPr>
      <w:r>
        <w:rPr>
          <w:rFonts w:ascii="Georgia" w:cs="Georgia" w:eastAsia="Georgia" w:hAnsi="Georgia"/>
          <w:b/>
          <w:bCs/>
          <w:color w:val="B85042"/>
          <w:sz w:val="24"/>
          <w:szCs w:val="24"/>
        </w:rPr>
        <w:t xml:space="preserve">38  </w:t>
      </w:r>
      <w:r>
        <w:rPr>
          <w:rFonts w:ascii="Georgia" w:cs="Georgia" w:eastAsia="Georgia" w:hAnsi="Georgia"/>
          <w:b/>
          <w:bCs/>
          <w:i w:val="false"/>
          <w:iCs w:val="false"/>
          <w:color w:val="1F1B16"/>
          <w:sz w:val="24"/>
          <w:szCs w:val="24"/>
        </w:rPr>
        <w:t xml:space="preserve">The First Caesium Atomic Clock (NPL, 1955)</w:t>
      </w:r>
      <w:r>
        <w:t xml:space="preserve">   </w:t>
      </w:r>
      <w:r>
        <w:rPr>
          <w:rFonts w:ascii="Georgia" w:cs="Georgia" w:eastAsia="Georgia" w:hAnsi="Georgia"/>
          <w:b/>
          <w:bCs/>
          <w:color w:val="FFFFFF"/>
          <w:sz w:val="14"/>
          <w:szCs w:val="14"/>
          <w:shd w:fill="3E6B3A" w:color="3E6B3A" w:val="clear"/>
        </w:rPr>
        <w:t xml:space="preserve"> ACCEPTED </w:t>
      </w:r>
    </w:p>
    <w:p>
      <w:pPr>
        <w:spacing w:after="80"/>
        <w:jc w:val="both"/>
      </w:pPr>
      <w:r>
        <w:rPr>
          <w:rFonts w:ascii="EB Garamond" w:cs="EB Garamond" w:eastAsia="EB Garamond" w:hAnsi="EB Garamond"/>
          <w:i w:val="false"/>
          <w:iCs w:val="false"/>
          <w:color w:val="1F1B16"/>
          <w:sz w:val="22"/>
          <w:szCs w:val="22"/>
        </w:rPr>
        <w:t xml:space="preserve">Louis Essen and Jack Parry's caesium resonator. For all prior history every clock — sundial, water clock, pendulum — was calibrated to the sky; from 1955 (and formally from the 1967 redefinition of the second) the standard became 9,192,631,770 oscillations of a caesium atom. For the first time, time had no sky in it: pure, equal, countable units — linear time perfected, and the only time the machine keeps.</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[58] [59] [60]</w:t>
      </w:r>
    </w:p>
    <w:p>
      <w:pPr>
        <w:keepNext/>
        <w:spacing w:after="60" w:before="200"/>
      </w:pPr>
      <w:r>
        <w:rPr>
          <w:rFonts w:ascii="Georgia" w:cs="Georgia" w:eastAsia="Georgia" w:hAnsi="Georgia"/>
          <w:b/>
          <w:bCs/>
          <w:color w:val="B85042"/>
          <w:sz w:val="24"/>
          <w:szCs w:val="24"/>
        </w:rPr>
        <w:t xml:space="preserve">39  </w:t>
      </w:r>
      <w:r>
        <w:rPr>
          <w:rFonts w:ascii="Georgia" w:cs="Georgia" w:eastAsia="Georgia" w:hAnsi="Georgia"/>
          <w:b/>
          <w:bCs/>
          <w:i w:val="false"/>
          <w:iCs w:val="false"/>
          <w:color w:val="1F1B16"/>
          <w:sz w:val="24"/>
          <w:szCs w:val="24"/>
        </w:rPr>
        <w:t xml:space="preserve">The True Sun vs. the Mean Sun — the Equation of Time</w:t>
      </w:r>
      <w:r>
        <w:t xml:space="preserve">   </w:t>
      </w:r>
      <w:r>
        <w:rPr>
          <w:rFonts w:ascii="Georgia" w:cs="Georgia" w:eastAsia="Georgia" w:hAnsi="Georgia"/>
          <w:b/>
          <w:bCs/>
          <w:color w:val="FFFFFF"/>
          <w:sz w:val="14"/>
          <w:szCs w:val="14"/>
          <w:shd w:fill="3E6B3A" w:color="3E6B3A" w:val="clear"/>
        </w:rPr>
        <w:t xml:space="preserve"> ACCEPTED </w:t>
      </w:r>
    </w:p>
    <w:p>
      <w:pPr>
        <w:spacing w:after="80"/>
        <w:jc w:val="both"/>
      </w:pPr>
      <w:r>
        <w:rPr>
          <w:rFonts w:ascii="EB Garamond" w:cs="EB Garamond" w:eastAsia="EB Garamond" w:hAnsi="EB Garamond"/>
          <w:i w:val="false"/>
          <w:iCs w:val="false"/>
          <w:color w:val="1F1B16"/>
          <w:sz w:val="22"/>
          <w:szCs w:val="22"/>
        </w:rPr>
        <w:t xml:space="preserve">The real Sun is an uneven timekeeper: orbital eccentricity and the 23.4° axial tilt make true solar days vary, accumulating to roughly ±16 minutes across the year. Eighteenth-century astronomers replaced the apparent Sun with a fictitious mean Sun moving at a uniform rate; every clock since is set to that fiction. The plot shows January 1: true Sun 3.7 minutes slow, declination −23.0°. The emblem of the whole chapter: the substitution was so complete that the real Sun now looks like the one that is wrong.</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[61] [62]</w:t>
      </w:r>
    </w:p>
    <w:p>
      <w:pPr>
        <w:keepNext/>
        <w:spacing w:after="60" w:before="200"/>
      </w:pPr>
      <w:r>
        <w:rPr>
          <w:rFonts w:ascii="Georgia" w:cs="Georgia" w:eastAsia="Georgia" w:hAnsi="Georgia"/>
          <w:b/>
          <w:bCs/>
          <w:color w:val="B85042"/>
          <w:sz w:val="24"/>
          <w:szCs w:val="24"/>
        </w:rPr>
        <w:t xml:space="preserve">40  </w:t>
      </w:r>
      <w:r>
        <w:rPr>
          <w:rFonts w:ascii="Georgia" w:cs="Georgia" w:eastAsia="Georgia" w:hAnsi="Georgia"/>
          <w:b/>
          <w:bCs/>
          <w:i w:val="false"/>
          <w:iCs w:val="false"/>
          <w:color w:val="1F1B16"/>
          <w:sz w:val="24"/>
          <w:szCs w:val="24"/>
        </w:rPr>
        <w:t xml:space="preserve">Jurisdictions Over Astrology</w:t>
      </w:r>
      <w:r>
        <w:t xml:space="preserve">   </w:t>
      </w:r>
      <w:r>
        <w:rPr>
          <w:rFonts w:ascii="Georgia" w:cs="Georgia" w:eastAsia="Georgia" w:hAnsi="Georgia"/>
          <w:b/>
          <w:bCs/>
          <w:color w:val="FFFFFF"/>
          <w:sz w:val="14"/>
          <w:szCs w:val="14"/>
          <w:shd w:fill="8B6914" w:color="8B6914" w:val="clear"/>
        </w:rPr>
        <w:t xml:space="preserve"> FRONTIER </w:t>
      </w:r>
    </w:p>
    <w:p>
      <w:pPr>
        <w:spacing w:after="80"/>
        <w:jc w:val="both"/>
      </w:pPr>
      <w:r>
        <w:rPr>
          <w:rFonts w:ascii="EB Garamond" w:cs="EB Garamond" w:eastAsia="EB Garamond" w:hAnsi="EB Garamond"/>
          <w:i w:val="false"/>
          <w:iCs w:val="false"/>
          <w:color w:val="1F1B16"/>
          <w:sz w:val="22"/>
          <w:szCs w:val="22"/>
        </w:rPr>
        <w:t xml:space="preserve">Cyclical time did not fade; it was written out by successive jurisdictions — religion, then commerce (bills come due on the line), then science (exact measurement). Astrology answered to none of these, stayed tied to the sky clock, and was expelled from Western universities in the seventeenth century. Not being a science of linear time only, it has largely failed tests designed by a measurement culture that does not register cyclical time or intuitive cognition. The institutional history is documented; the causal reading is the talk's. The caged-animals image is unattributed (likely AI-generated).</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[63] [64] [65] [49]</w:t>
      </w:r>
    </w:p>
    <w:p>
      <w:pPr>
        <w:keepNext/>
        <w:spacing w:after="60" w:before="200"/>
      </w:pPr>
      <w:r>
        <w:rPr>
          <w:rFonts w:ascii="Georgia" w:cs="Georgia" w:eastAsia="Georgia" w:hAnsi="Georgia"/>
          <w:b/>
          <w:bCs/>
          <w:color w:val="B85042"/>
          <w:sz w:val="24"/>
          <w:szCs w:val="24"/>
        </w:rPr>
        <w:t xml:space="preserve">41  </w:t>
      </w:r>
      <w:r>
        <w:rPr>
          <w:rFonts w:ascii="Georgia" w:cs="Georgia" w:eastAsia="Georgia" w:hAnsi="Georgia"/>
          <w:b/>
          <w:bCs/>
          <w:i w:val="false"/>
          <w:iCs w:val="false"/>
          <w:color w:val="1F1B16"/>
          <w:sz w:val="24"/>
          <w:szCs w:val="24"/>
        </w:rPr>
        <w:t xml:space="preserve">The Lunar Eye</w:t>
      </w:r>
      <w:r>
        <w:t xml:space="preserve">   </w:t>
      </w:r>
      <w:r>
        <w:rPr>
          <w:rFonts w:ascii="Georgia" w:cs="Georgia" w:eastAsia="Georgia" w:hAnsi="Georgia"/>
          <w:b/>
          <w:bCs/>
          <w:color w:val="FFFFFF"/>
          <w:sz w:val="14"/>
          <w:szCs w:val="14"/>
          <w:shd w:fill="6D2E46" w:color="6D2E46" w:val="clear"/>
        </w:rPr>
        <w:t xml:space="preserve"> SYMBOLIC </w:t>
      </w:r>
    </w:p>
    <w:p>
      <w:pPr>
        <w:spacing w:after="80"/>
        <w:jc w:val="both"/>
      </w:pPr>
      <w:r>
        <w:rPr>
          <w:rFonts w:ascii="EB Garamond" w:cs="EB Garamond" w:eastAsia="EB Garamond" w:hAnsi="EB Garamond"/>
          <w:i w:val="false"/>
          <w:iCs w:val="false"/>
          <w:color w:val="1F1B16"/>
          <w:sz w:val="22"/>
          <w:szCs w:val="22"/>
        </w:rPr>
        <w:t xml:space="preserve">Egyptian myth as warning. Horus, god of order, fights Seth (chaos, desert, storm) and loses his left eye — the lunar eye. The right eye is solar: division, particulars, the day-world; the left is lunar — the </w:t>
      </w:r>
      <w:r>
        <w:rPr>
          <w:rFonts w:ascii="EB Garamond" w:cs="EB Garamond" w:eastAsia="EB Garamond" w:hAnsi="EB Garamond"/>
          <w:i/>
          <w:iCs/>
          <w:color w:val="1F1B16"/>
          <w:sz w:val="22"/>
          <w:szCs w:val="22"/>
        </w:rPr>
        <w:t xml:space="preserve">wedjat</w:t>
      </w:r>
      <w:r>
        <w:rPr>
          <w:rFonts w:ascii="EB Garamond" w:cs="EB Garamond" w:eastAsia="EB Garamond" w:hAnsi="EB Garamond"/>
          <w:i w:val="false"/>
          <w:iCs w:val="false"/>
          <w:color w:val="1F1B16"/>
          <w:sz w:val="22"/>
          <w:szCs w:val="22"/>
        </w:rPr>
        <w:t xml:space="preserve"> — vision of wholes and of what is hidden. Order fighting chaos comes out half-blind. Thoth, god of writing and number, restores the eye, which is then named </w:t>
      </w:r>
      <w:r>
        <w:rPr>
          <w:rFonts w:ascii="EB Garamond" w:cs="EB Garamond" w:eastAsia="EB Garamond" w:hAnsi="EB Garamond"/>
          <w:i/>
          <w:iCs/>
          <w:color w:val="1F1B16"/>
          <w:sz w:val="22"/>
          <w:szCs w:val="22"/>
        </w:rPr>
        <w:t xml:space="preserve">wedjat</w:t>
      </w:r>
      <w:r>
        <w:rPr>
          <w:rFonts w:ascii="EB Garamond" w:cs="EB Garamond" w:eastAsia="EB Garamond" w:hAnsi="EB Garamond"/>
          <w:i w:val="false"/>
          <w:iCs w:val="false"/>
          <w:color w:val="1F1B16"/>
          <w:sz w:val="22"/>
          <w:szCs w:val="22"/>
        </w:rPr>
        <w:t xml:space="preserve">, 'the whole one' — not the victorious one. Matthew 5:29 read symbolically: life in the narrow view is hell, as Hesiod put it. The eye-to-hemisphere mapping is symbolic register only, per the project's own rulings.</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[66] [67] [68] [69]</w:t>
      </w:r>
    </w:p>
    <w:p>
      <w:pPr>
        <w:keepNext/>
        <w:spacing w:after="60" w:before="200"/>
      </w:pPr>
      <w:r>
        <w:rPr>
          <w:rFonts w:ascii="Georgia" w:cs="Georgia" w:eastAsia="Georgia" w:hAnsi="Georgia"/>
          <w:b/>
          <w:bCs/>
          <w:color w:val="B85042"/>
          <w:sz w:val="24"/>
          <w:szCs w:val="24"/>
        </w:rPr>
        <w:t xml:space="preserve">42  </w:t>
      </w:r>
      <w:r>
        <w:rPr>
          <w:rFonts w:ascii="Georgia" w:cs="Georgia" w:eastAsia="Georgia" w:hAnsi="Georgia"/>
          <w:b/>
          <w:bCs/>
          <w:i w:val="false"/>
          <w:iCs w:val="false"/>
          <w:color w:val="1F1B16"/>
          <w:sz w:val="24"/>
          <w:szCs w:val="24"/>
        </w:rPr>
        <w:t xml:space="preserve">When One Mode Runs Alone</w:t>
      </w:r>
      <w:r>
        <w:t xml:space="preserve">   </w:t>
      </w:r>
      <w:r>
        <w:rPr>
          <w:rFonts w:ascii="Georgia" w:cs="Georgia" w:eastAsia="Georgia" w:hAnsi="Georgia"/>
          <w:b/>
          <w:bCs/>
          <w:color w:val="FFFFFF"/>
          <w:sz w:val="14"/>
          <w:szCs w:val="14"/>
          <w:shd w:fill="5F5651" w:color="5F5651" w:val="clear"/>
        </w:rPr>
        <w:t xml:space="preserve"> MIXED </w:t>
      </w:r>
    </w:p>
    <w:p>
      <w:pPr>
        <w:spacing w:after="80"/>
        <w:jc w:val="both"/>
      </w:pPr>
      <w:r>
        <w:rPr>
          <w:rFonts w:ascii="EB Garamond" w:cs="EB Garamond" w:eastAsia="EB Garamond" w:hAnsi="EB Garamond"/>
          <w:i w:val="false"/>
          <w:iCs w:val="false"/>
          <w:color w:val="1F1B16"/>
          <w:sz w:val="22"/>
          <w:szCs w:val="22"/>
        </w:rPr>
        <w:t xml:space="preserve">Four faces of the same failure, each seen in the clinic and now built into the tool: confabulation (fills the gap with a story and believes it — Gazzaniga's interpreter; LLM hallucination), rigid certainty (defends the model, not the world — McGilchrist; sycophancy), fragmentation (perfect details, lost whole — hemispatial neglect; long-context drift), and abstract time (clock replaces sunrise — one clock, discrete steps). Clinical anchors are ACCEPTED; the machine parallels are documented phenomena; the identity claim between them is the talk's thesis (FRONTIER).</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[70] [71] [2] [72] [73] [74]</w:t>
      </w:r>
    </w:p>
    <w:p>
      <w:pPr>
        <w:pStyle w:val="Heading1"/>
        <w:pBdr>
          <w:bottom w:val="single" w:color="B85042" w:sz="12" w:space="4"/>
        </w:pBdr>
        <w:spacing w:after="160" w:before="360"/>
      </w:pPr>
      <w:r>
        <w:rPr>
          <w:rFonts w:ascii="Georgia" w:cs="Georgia" w:eastAsia="Georgia" w:hAnsi="Georgia"/>
          <w:b/>
          <w:bCs/>
          <w:color w:val="1F1B16"/>
          <w:sz w:val="32"/>
          <w:szCs w:val="32"/>
        </w:rPr>
        <w:t xml:space="preserve">Chapter 6 — Finale: How Astrology Gives Us Hope for the Future</w:t>
      </w:r>
    </w:p>
    <w:p>
      <w:pPr>
        <w:keepNext/>
        <w:spacing w:after="60" w:before="200"/>
      </w:pPr>
      <w:r>
        <w:rPr>
          <w:rFonts w:ascii="Georgia" w:cs="Georgia" w:eastAsia="Georgia" w:hAnsi="Georgia"/>
          <w:b/>
          <w:bCs/>
          <w:color w:val="B85042"/>
          <w:sz w:val="24"/>
          <w:szCs w:val="24"/>
        </w:rPr>
        <w:t xml:space="preserve">43  </w:t>
      </w:r>
      <w:r>
        <w:rPr>
          <w:rFonts w:ascii="Georgia" w:cs="Georgia" w:eastAsia="Georgia" w:hAnsi="Georgia"/>
          <w:b/>
          <w:bCs/>
          <w:i w:val="false"/>
          <w:iCs w:val="false"/>
          <w:color w:val="1F1B16"/>
          <w:sz w:val="24"/>
          <w:szCs w:val="24"/>
        </w:rPr>
        <w:t xml:space="preserve">Chapter 06: Finale — How Astrology Gives Us Hope for the Future!</w:t>
      </w:r>
      <w:r>
        <w:t xml:space="preserve">   </w:t>
      </w:r>
      <w:r>
        <w:rPr>
          <w:rFonts w:ascii="Georgia" w:cs="Georgia" w:eastAsia="Georgia" w:hAnsi="Georgia"/>
          <w:b/>
          <w:bCs/>
          <w:color w:val="FFFFFF"/>
          <w:sz w:val="14"/>
          <w:szCs w:val="14"/>
          <w:shd w:fill="5F5651" w:color="5F5651" w:val="clear"/>
        </w:rPr>
        <w:t xml:space="preserve"> N/A </w:t>
      </w:r>
    </w:p>
    <w:p>
      <w:pPr>
        <w:spacing w:after="80"/>
        <w:jc w:val="both"/>
      </w:pPr>
      <w:r>
        <w:rPr>
          <w:rFonts w:ascii="EB Garamond" w:cs="EB Garamond" w:eastAsia="EB Garamond" w:hAnsi="EB Garamond"/>
          <w:i w:val="false"/>
          <w:iCs w:val="false"/>
          <w:color w:val="1F1B16"/>
          <w:sz w:val="22"/>
          <w:szCs w:val="22"/>
        </w:rPr>
        <w:t xml:space="preserve">Chapter divider: cosmic patterns, human intuition, and the search for meaning.</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[1]</w:t>
      </w:r>
    </w:p>
    <w:p>
      <w:pPr>
        <w:keepNext/>
        <w:spacing w:after="60" w:before="200"/>
      </w:pPr>
      <w:r>
        <w:rPr>
          <w:rFonts w:ascii="Georgia" w:cs="Georgia" w:eastAsia="Georgia" w:hAnsi="Georgia"/>
          <w:b/>
          <w:bCs/>
          <w:color w:val="B85042"/>
          <w:sz w:val="24"/>
          <w:szCs w:val="24"/>
        </w:rPr>
        <w:t xml:space="preserve">44  </w:t>
      </w:r>
      <w:r>
        <w:rPr>
          <w:rFonts w:ascii="Georgia" w:cs="Georgia" w:eastAsia="Georgia" w:hAnsi="Georgia"/>
          <w:b/>
          <w:bCs/>
          <w:i w:val="false"/>
          <w:iCs w:val="false"/>
          <w:color w:val="1F1B16"/>
          <w:sz w:val="24"/>
          <w:szCs w:val="24"/>
        </w:rPr>
        <w:t xml:space="preserve">Lessons from the Oracle of Delphi (kylix)</w:t>
      </w:r>
      <w:r>
        <w:t xml:space="preserve">   </w:t>
      </w:r>
      <w:r>
        <w:rPr>
          <w:rFonts w:ascii="Georgia" w:cs="Georgia" w:eastAsia="Georgia" w:hAnsi="Georgia"/>
          <w:b/>
          <w:bCs/>
          <w:color w:val="FFFFFF"/>
          <w:sz w:val="14"/>
          <w:szCs w:val="14"/>
          <w:shd w:fill="3E6B3A" w:color="3E6B3A" w:val="clear"/>
        </w:rPr>
        <w:t xml:space="preserve"> ACCEPTED </w:t>
      </w:r>
    </w:p>
    <w:p>
      <w:pPr>
        <w:spacing w:after="80"/>
        <w:jc w:val="both"/>
      </w:pPr>
      <w:r>
        <w:rPr>
          <w:rFonts w:ascii="EB Garamond" w:cs="EB Garamond" w:eastAsia="EB Garamond" w:hAnsi="EB Garamond"/>
          <w:i w:val="false"/>
          <w:iCs w:val="false"/>
          <w:color w:val="1F1B16"/>
          <w:sz w:val="22"/>
          <w:szCs w:val="22"/>
        </w:rPr>
        <w:t xml:space="preserve">Attic red-figure cup showing a king consulting the Pythia on her tripod. The notes set up the problem: modern people are heavily narrow-mode — disciplined, useful, treating the body as a tool — and recovering healthy joint use of both modes is hard. The starting point is the Delphic maxim 'Know thyself'.</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[75] [76] [77]</w:t>
      </w:r>
    </w:p>
    <w:p>
      <w:pPr>
        <w:keepNext/>
        <w:spacing w:after="60" w:before="200"/>
      </w:pPr>
      <w:r>
        <w:rPr>
          <w:rFonts w:ascii="Georgia" w:cs="Georgia" w:eastAsia="Georgia" w:hAnsi="Georgia"/>
          <w:b/>
          <w:bCs/>
          <w:color w:val="B85042"/>
          <w:sz w:val="24"/>
          <w:szCs w:val="24"/>
        </w:rPr>
        <w:t xml:space="preserve">45  </w:t>
      </w:r>
      <w:r>
        <w:rPr>
          <w:rFonts w:ascii="Georgia" w:cs="Georgia" w:eastAsia="Georgia" w:hAnsi="Georgia"/>
          <w:b/>
          <w:bCs/>
          <w:i w:val="false"/>
          <w:iCs w:val="false"/>
          <w:color w:val="1F1B16"/>
          <w:sz w:val="24"/>
          <w:szCs w:val="24"/>
        </w:rPr>
        <w:t xml:space="preserve">Lessons from the Oracle of Delphi</w:t>
      </w:r>
      <w:r>
        <w:t xml:space="preserve">   </w:t>
      </w:r>
      <w:r>
        <w:rPr>
          <w:rFonts w:ascii="Georgia" w:cs="Georgia" w:eastAsia="Georgia" w:hAnsi="Georgia"/>
          <w:b/>
          <w:bCs/>
          <w:color w:val="FFFFFF"/>
          <w:sz w:val="14"/>
          <w:szCs w:val="14"/>
          <w:shd w:fill="8B6914" w:color="8B6914" w:val="clear"/>
        </w:rPr>
        <w:t xml:space="preserve"> FRONTIER </w:t>
      </w:r>
    </w:p>
    <w:p>
      <w:pPr>
        <w:spacing w:after="80"/>
        <w:jc w:val="both"/>
      </w:pPr>
      <w:r>
        <w:rPr>
          <w:rFonts w:ascii="EB Garamond" w:cs="EB Garamond" w:eastAsia="EB Garamond" w:hAnsi="EB Garamond"/>
          <w:i w:val="false"/>
          <w:iCs w:val="false"/>
          <w:color w:val="1F1B16"/>
          <w:sz w:val="22"/>
          <w:szCs w:val="22"/>
        </w:rPr>
        <w:t xml:space="preserve">The consultation as an oscillation in four hands: the querent forms a sharp question (narrow, articulated); the Pythia enters trance and receives an image (broad, received); she speaks it to the scribe, who writes (right translated to left); the scribe hands the tablet back (delivered). A working example of the two modes cooperating. The four-step procedure is a reconstruction; scholars dispute the vapors, the laurel, and routine hexameter.</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[78] [79] [80]</w:t>
      </w:r>
    </w:p>
    <w:p>
      <w:pPr>
        <w:keepNext/>
        <w:spacing w:after="60" w:before="200"/>
      </w:pPr>
      <w:r>
        <w:rPr>
          <w:rFonts w:ascii="Georgia" w:cs="Georgia" w:eastAsia="Georgia" w:hAnsi="Georgia"/>
          <w:b/>
          <w:bCs/>
          <w:color w:val="B85042"/>
          <w:sz w:val="24"/>
          <w:szCs w:val="24"/>
        </w:rPr>
        <w:t xml:space="preserve">46  </w:t>
      </w:r>
      <w:r>
        <w:rPr>
          <w:rFonts w:ascii="Georgia" w:cs="Georgia" w:eastAsia="Georgia" w:hAnsi="Georgia"/>
          <w:b/>
          <w:bCs/>
          <w:i w:val="false"/>
          <w:iCs w:val="false"/>
          <w:color w:val="1F1B16"/>
          <w:sz w:val="24"/>
          <w:szCs w:val="24"/>
        </w:rPr>
        <w:t xml:space="preserve">The Oracle's Method</w:t>
      </w:r>
      <w:r>
        <w:t xml:space="preserve">   </w:t>
      </w:r>
      <w:r>
        <w:rPr>
          <w:rFonts w:ascii="Georgia" w:cs="Georgia" w:eastAsia="Georgia" w:hAnsi="Georgia"/>
          <w:b/>
          <w:bCs/>
          <w:color w:val="FFFFFF"/>
          <w:sz w:val="14"/>
          <w:szCs w:val="14"/>
          <w:shd w:fill="3E6B3A" w:color="3E6B3A" w:val="clear"/>
        </w:rPr>
        <w:t xml:space="preserve"> ACCEPTED </w:t>
      </w:r>
    </w:p>
    <w:p>
      <w:pPr>
        <w:spacing w:after="80"/>
        <w:jc w:val="both"/>
      </w:pPr>
      <w:r>
        <w:rPr>
          <w:rFonts w:ascii="EB Garamond" w:cs="EB Garamond" w:eastAsia="EB Garamond" w:hAnsi="EB Garamond"/>
          <w:i w:val="false"/>
          <w:iCs w:val="false"/>
          <w:color w:val="1F1B16"/>
          <w:sz w:val="22"/>
          <w:szCs w:val="22"/>
        </w:rPr>
        <w:t xml:space="preserve">The same oscillation mapped onto astrological technique. Diurnal motion — the day's turning — gives the hour: ask in a sharp hour, verify in a later one. Zodiacal motion — the Moon's course — carries the question by degrees to exactness until it lands. Two clocks run every reading. This is the horary framework in miniature.</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[19] [81]</w:t>
      </w:r>
      <w:r>
        <w:rPr>
          <w:rFonts w:ascii="EB Garamond" w:cs="EB Garamond" w:eastAsia="EB Garamond" w:hAnsi="EB Garamond"/>
          <w:i/>
          <w:iCs/>
          <w:color w:val="5F5651"/>
          <w:sz w:val="19"/>
          <w:szCs w:val="19"/>
        </w:rPr>
        <w:t xml:space="preserve">  ·  ACCEPTED (doctrine)</w:t>
      </w:r>
    </w:p>
    <w:p>
      <w:pPr>
        <w:keepNext/>
        <w:spacing w:after="60" w:before="200"/>
      </w:pPr>
      <w:r>
        <w:rPr>
          <w:rFonts w:ascii="Georgia" w:cs="Georgia" w:eastAsia="Georgia" w:hAnsi="Georgia"/>
          <w:b/>
          <w:bCs/>
          <w:color w:val="B85042"/>
          <w:sz w:val="24"/>
          <w:szCs w:val="24"/>
        </w:rPr>
        <w:t xml:space="preserve">47  </w:t>
      </w:r>
      <w:r>
        <w:rPr>
          <w:rFonts w:ascii="Georgia" w:cs="Georgia" w:eastAsia="Georgia" w:hAnsi="Georgia"/>
          <w:b/>
          <w:bCs/>
          <w:i w:val="false"/>
          <w:iCs w:val="false"/>
          <w:color w:val="1F1B16"/>
          <w:sz w:val="24"/>
          <w:szCs w:val="24"/>
        </w:rPr>
        <w:t xml:space="preserve">Horary — 'When will I find my keys?'</w:t>
      </w:r>
      <w:r>
        <w:t xml:space="preserve">   </w:t>
      </w:r>
      <w:r>
        <w:rPr>
          <w:rFonts w:ascii="Georgia" w:cs="Georgia" w:eastAsia="Georgia" w:hAnsi="Georgia"/>
          <w:b/>
          <w:bCs/>
          <w:color w:val="FFFFFF"/>
          <w:sz w:val="14"/>
          <w:szCs w:val="14"/>
          <w:shd w:fill="3E6B3A" w:color="3E6B3A" w:val="clear"/>
        </w:rPr>
        <w:t xml:space="preserve"> ACCEPTED </w:t>
      </w:r>
    </w:p>
    <w:p>
      <w:pPr>
        <w:spacing w:after="80"/>
        <w:jc w:val="both"/>
      </w:pPr>
      <w:r>
        <w:rPr>
          <w:rFonts w:ascii="EB Garamond" w:cs="EB Garamond" w:eastAsia="EB Garamond" w:hAnsi="EB Garamond"/>
          <w:i w:val="false"/>
          <w:iCs w:val="false"/>
          <w:color w:val="1F1B16"/>
          <w:sz w:val="22"/>
          <w:szCs w:val="22"/>
        </w:rPr>
        <w:t xml:space="preserve">Worked horary chart. Ascendant 8° Libra, so Venus is the querent (ruler of the first house); Mars rules the second house and signifies the keys; the Moon, separating 4° from Venus and applying 5° to Mars, translates the light between them. Verdict: found in about five days, at home, low, near the ground. Standard Lilly-style technique — translation of light, degrees-to-days timing, and lost-object placement.</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[19] [81]</w:t>
      </w:r>
      <w:r>
        <w:rPr>
          <w:rFonts w:ascii="EB Garamond" w:cs="EB Garamond" w:eastAsia="EB Garamond" w:hAnsi="EB Garamond"/>
          <w:i/>
          <w:iCs/>
          <w:color w:val="5F5651"/>
          <w:sz w:val="19"/>
          <w:szCs w:val="19"/>
        </w:rPr>
        <w:t xml:space="preserve">  ·  ACCEPTED (doctrine)</w:t>
      </w:r>
    </w:p>
    <w:p>
      <w:pPr>
        <w:keepNext/>
        <w:spacing w:after="60" w:before="200"/>
      </w:pPr>
      <w:r>
        <w:rPr>
          <w:rFonts w:ascii="Georgia" w:cs="Georgia" w:eastAsia="Georgia" w:hAnsi="Georgia"/>
          <w:b/>
          <w:bCs/>
          <w:color w:val="B85042"/>
          <w:sz w:val="24"/>
          <w:szCs w:val="24"/>
        </w:rPr>
        <w:t xml:space="preserve">48  </w:t>
      </w:r>
      <w:r>
        <w:rPr>
          <w:rFonts w:ascii="Georgia" w:cs="Georgia" w:eastAsia="Georgia" w:hAnsi="Georgia"/>
          <w:b/>
          <w:bCs/>
          <w:i w:val="false"/>
          <w:iCs w:val="false"/>
          <w:color w:val="1F1B16"/>
          <w:sz w:val="24"/>
          <w:szCs w:val="24"/>
        </w:rPr>
        <w:t xml:space="preserve">The Consultation Process: Hemispheric Oscillation</w:t>
      </w:r>
      <w:r>
        <w:t xml:space="preserve">   </w:t>
      </w:r>
      <w:r>
        <w:rPr>
          <w:rFonts w:ascii="Georgia" w:cs="Georgia" w:eastAsia="Georgia" w:hAnsi="Georgia"/>
          <w:b/>
          <w:bCs/>
          <w:color w:val="FFFFFF"/>
          <w:sz w:val="14"/>
          <w:szCs w:val="14"/>
          <w:shd w:fill="8B6914" w:color="8B6914" w:val="clear"/>
        </w:rPr>
        <w:t xml:space="preserve"> FRONTIER </w:t>
      </w:r>
    </w:p>
    <w:p>
      <w:pPr>
        <w:spacing w:after="80"/>
        <w:jc w:val="both"/>
      </w:pPr>
      <w:r>
        <w:rPr>
          <w:rFonts w:ascii="EB Garamond" w:cs="EB Garamond" w:eastAsia="EB Garamond" w:hAnsi="EB Garamond"/>
          <w:i w:val="false"/>
          <w:iCs w:val="false"/>
          <w:color w:val="1F1B16"/>
          <w:sz w:val="22"/>
          <w:szCs w:val="22"/>
        </w:rPr>
        <w:t xml:space="preserve">A four-pass model of a chart consultation: (1) narrow mode — cast the chart, lay out houses, planets, aspects; (2) broad mode — sense the client's situation, let areas of interest form; (3) broad mode — synthesize and re-read the whole with fresh eyes; (4) narrow mode — translate insight into clear findings. Illustrated with a Gemini-rising chart (Sun in Leo, Moon in Sagittarius, Jupiter exalted in Cancer, Saturn retrograde in Capricorn; choleric-dominant; Lord of the Geniture Jupiter). The right–left–right sequence follows McGilchrist's account of how the hemispheres should collaborate; its application to consulting is the talk's proposal.</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[2] [19] [1]</w:t>
      </w:r>
    </w:p>
    <w:p>
      <w:pPr>
        <w:keepNext/>
        <w:spacing w:after="60" w:before="200"/>
      </w:pPr>
      <w:r>
        <w:rPr>
          <w:rFonts w:ascii="Georgia" w:cs="Georgia" w:eastAsia="Georgia" w:hAnsi="Georgia"/>
          <w:b/>
          <w:bCs/>
          <w:color w:val="B85042"/>
          <w:sz w:val="24"/>
          <w:szCs w:val="24"/>
        </w:rPr>
        <w:t xml:space="preserve">49  </w:t>
      </w:r>
      <w:r>
        <w:rPr>
          <w:rFonts w:ascii="Georgia" w:cs="Georgia" w:eastAsia="Georgia" w:hAnsi="Georgia"/>
          <w:b/>
          <w:bCs/>
          <w:i w:val="false"/>
          <w:iCs w:val="false"/>
          <w:color w:val="1F1B16"/>
          <w:sz w:val="24"/>
          <w:szCs w:val="24"/>
        </w:rPr>
        <w:t xml:space="preserve">3 Main Ideas for This Talk (reprise)</w:t>
      </w:r>
      <w:r>
        <w:t xml:space="preserve">   </w:t>
      </w:r>
      <w:r>
        <w:rPr>
          <w:rFonts w:ascii="Georgia" w:cs="Georgia" w:eastAsia="Georgia" w:hAnsi="Georgia"/>
          <w:b/>
          <w:bCs/>
          <w:color w:val="FFFFFF"/>
          <w:sz w:val="14"/>
          <w:szCs w:val="14"/>
          <w:shd w:fill="5F5651" w:color="5F5651" w:val="clear"/>
        </w:rPr>
        <w:t xml:space="preserve"> MIXED </w:t>
      </w:r>
    </w:p>
    <w:p>
      <w:pPr>
        <w:spacing w:after="80"/>
        <w:jc w:val="both"/>
      </w:pPr>
      <w:r>
        <w:rPr>
          <w:rFonts w:ascii="EB Garamond" w:cs="EB Garamond" w:eastAsia="EB Garamond" w:hAnsi="EB Garamond"/>
          <w:i w:val="false"/>
          <w:iCs w:val="false"/>
          <w:color w:val="1F1B16"/>
          <w:sz w:val="22"/>
          <w:szCs w:val="22"/>
        </w:rPr>
        <w:t xml:space="preserve">Closing restatement of the three take-home claims from slide 3.</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[2] [3]</w:t>
      </w:r>
    </w:p>
    <w:p>
      <w:pPr>
        <w:keepNext/>
        <w:spacing w:after="60" w:before="200"/>
      </w:pPr>
      <w:r>
        <w:rPr>
          <w:rFonts w:ascii="Georgia" w:cs="Georgia" w:eastAsia="Georgia" w:hAnsi="Georgia"/>
          <w:b/>
          <w:bCs/>
          <w:color w:val="B85042"/>
          <w:sz w:val="24"/>
          <w:szCs w:val="24"/>
        </w:rPr>
        <w:t xml:space="preserve">50  </w:t>
      </w:r>
      <w:r>
        <w:rPr>
          <w:rFonts w:ascii="Georgia" w:cs="Georgia" w:eastAsia="Georgia" w:hAnsi="Georgia"/>
          <w:b/>
          <w:bCs/>
          <w:i w:val="false"/>
          <w:iCs w:val="false"/>
          <w:color w:val="1F1B16"/>
          <w:sz w:val="24"/>
          <w:szCs w:val="24"/>
        </w:rPr>
        <w:t xml:space="preserve">Waterspot (video, reprise)</w:t>
      </w:r>
      <w:r>
        <w:t xml:space="preserve">   </w:t>
      </w:r>
      <w:r>
        <w:rPr>
          <w:rFonts w:ascii="Georgia" w:cs="Georgia" w:eastAsia="Georgia" w:hAnsi="Georgia"/>
          <w:b/>
          <w:bCs/>
          <w:color w:val="FFFFFF"/>
          <w:sz w:val="14"/>
          <w:szCs w:val="14"/>
          <w:shd w:fill="5F5651" w:color="5F5651" w:val="clear"/>
        </w:rPr>
        <w:t xml:space="preserve"> N/A </w:t>
      </w:r>
    </w:p>
    <w:p>
      <w:pPr>
        <w:spacing w:after="80"/>
        <w:jc w:val="both"/>
      </w:pPr>
      <w:r>
        <w:rPr>
          <w:rFonts w:ascii="EB Garamond" w:cs="EB Garamond" w:eastAsia="EB Garamond" w:hAnsi="EB Garamond"/>
          <w:i w:val="false"/>
          <w:iCs w:val="false"/>
          <w:color w:val="1F1B16"/>
          <w:sz w:val="22"/>
          <w:szCs w:val="22"/>
        </w:rPr>
        <w:t xml:space="preserve">Closing video — the river again. No credit on slide.</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[46]</w:t>
      </w:r>
    </w:p>
    <w:p>
      <w:pPr>
        <w:pStyle w:val="Heading1"/>
        <w:pBdr>
          <w:bottom w:val="single" w:color="B85042" w:sz="12" w:space="4"/>
        </w:pBdr>
        <w:spacing w:after="160" w:before="360"/>
      </w:pPr>
      <w:r>
        <w:rPr>
          <w:rFonts w:ascii="Georgia" w:cs="Georgia" w:eastAsia="Georgia" w:hAnsi="Georgia"/>
          <w:b/>
          <w:bCs/>
          <w:color w:val="1F1B16"/>
          <w:sz w:val="32"/>
          <w:szCs w:val="32"/>
        </w:rPr>
        <w:t xml:space="preserve">Reference Slides for Q&amp;A</w:t>
      </w:r>
    </w:p>
    <w:p>
      <w:pPr>
        <w:keepNext/>
        <w:spacing w:after="60" w:before="200"/>
      </w:pPr>
      <w:r>
        <w:rPr>
          <w:rFonts w:ascii="Georgia" w:cs="Georgia" w:eastAsia="Georgia" w:hAnsi="Georgia"/>
          <w:b/>
          <w:bCs/>
          <w:color w:val="B85042"/>
          <w:sz w:val="24"/>
          <w:szCs w:val="24"/>
        </w:rPr>
        <w:t xml:space="preserve">51  </w:t>
      </w:r>
      <w:r>
        <w:rPr>
          <w:rFonts w:ascii="Georgia" w:cs="Georgia" w:eastAsia="Georgia" w:hAnsi="Georgia"/>
          <w:b/>
          <w:bCs/>
          <w:i w:val="false"/>
          <w:iCs w:val="false"/>
          <w:color w:val="1F1B16"/>
          <w:sz w:val="24"/>
          <w:szCs w:val="24"/>
        </w:rPr>
        <w:t xml:space="preserve">The Following Slides are Notes for Q&amp;A or Reference</w:t>
      </w:r>
      <w:r>
        <w:t xml:space="preserve">   </w:t>
      </w:r>
      <w:r>
        <w:rPr>
          <w:rFonts w:ascii="Georgia" w:cs="Georgia" w:eastAsia="Georgia" w:hAnsi="Georgia"/>
          <w:b/>
          <w:bCs/>
          <w:color w:val="FFFFFF"/>
          <w:sz w:val="14"/>
          <w:szCs w:val="14"/>
          <w:shd w:fill="5F5651" w:color="5F5651" w:val="clear"/>
        </w:rPr>
        <w:t xml:space="preserve"> N/A </w:t>
      </w:r>
    </w:p>
    <w:p>
      <w:pPr>
        <w:spacing w:after="80"/>
        <w:jc w:val="both"/>
      </w:pPr>
      <w:r>
        <w:rPr>
          <w:rFonts w:ascii="EB Garamond" w:cs="EB Garamond" w:eastAsia="EB Garamond" w:hAnsi="EB Garamond"/>
          <w:i w:val="false"/>
          <w:iCs w:val="false"/>
          <w:color w:val="1F1B16"/>
          <w:sz w:val="22"/>
          <w:szCs w:val="22"/>
        </w:rPr>
        <w:t xml:space="preserve">Section divider. Everything after this point is holstered material, not part of the stage run.</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[1]</w:t>
      </w:r>
    </w:p>
    <w:p>
      <w:pPr>
        <w:keepNext/>
        <w:spacing w:after="60" w:before="200"/>
      </w:pPr>
      <w:r>
        <w:rPr>
          <w:rFonts w:ascii="Georgia" w:cs="Georgia" w:eastAsia="Georgia" w:hAnsi="Georgia"/>
          <w:b/>
          <w:bCs/>
          <w:color w:val="B85042"/>
          <w:sz w:val="24"/>
          <w:szCs w:val="24"/>
        </w:rPr>
        <w:t xml:space="preserve">52  </w:t>
      </w:r>
      <w:r>
        <w:rPr>
          <w:rFonts w:ascii="Georgia" w:cs="Georgia" w:eastAsia="Georgia" w:hAnsi="Georgia"/>
          <w:b/>
          <w:bCs/>
          <w:i w:val="false"/>
          <w:iCs w:val="false"/>
          <w:color w:val="1F1B16"/>
          <w:sz w:val="24"/>
          <w:szCs w:val="24"/>
        </w:rPr>
        <w:t xml:space="preserve">Sect and Phase</w:t>
      </w:r>
      <w:r>
        <w:t xml:space="preserve">   </w:t>
      </w:r>
      <w:r>
        <w:rPr>
          <w:rFonts w:ascii="Georgia" w:cs="Georgia" w:eastAsia="Georgia" w:hAnsi="Georgia"/>
          <w:b/>
          <w:bCs/>
          <w:color w:val="FFFFFF"/>
          <w:sz w:val="14"/>
          <w:szCs w:val="14"/>
          <w:shd w:fill="3E6B3A" w:color="3E6B3A" w:val="clear"/>
        </w:rPr>
        <w:t xml:space="preserve"> ACCEPTED </w:t>
      </w:r>
    </w:p>
    <w:p>
      <w:pPr>
        <w:spacing w:after="80"/>
        <w:jc w:val="both"/>
      </w:pPr>
      <w:r>
        <w:rPr>
          <w:rFonts w:ascii="EB Garamond" w:cs="EB Garamond" w:eastAsia="EB Garamond" w:hAnsi="EB Garamond"/>
          <w:i w:val="false"/>
          <w:iCs w:val="false"/>
          <w:color w:val="1F1B16"/>
          <w:sz w:val="22"/>
          <w:szCs w:val="22"/>
        </w:rPr>
        <w:t xml:space="preserve">Two traditional sortings mapped onto the two attention modes. Sect: day chart (Sun above the horizon) → narrow mode; night chart → broad mode. Phase: oriental (morning star, rising before the Sun) → narrow; occidental (evening star, after the Sun) → broad. 'Day and morning speak left; night and evening speak right.' The sect and phase doctrines are Hellenistic; the attention-mode overlay is the project's SPECULATIVE tier.</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[18] [82] [45]</w:t>
      </w:r>
      <w:r>
        <w:rPr>
          <w:rFonts w:ascii="EB Garamond" w:cs="EB Garamond" w:eastAsia="EB Garamond" w:hAnsi="EB Garamond"/>
          <w:i/>
          <w:iCs/>
          <w:color w:val="5F5651"/>
          <w:sz w:val="19"/>
          <w:szCs w:val="19"/>
        </w:rPr>
        <w:t xml:space="preserve">  ·  ACCEPTED (doctrine) / SPECULATIVE (overlay)</w:t>
      </w:r>
    </w:p>
    <w:p>
      <w:pPr>
        <w:keepNext/>
        <w:spacing w:after="60" w:before="200"/>
      </w:pPr>
      <w:r>
        <w:rPr>
          <w:rFonts w:ascii="Georgia" w:cs="Georgia" w:eastAsia="Georgia" w:hAnsi="Georgia"/>
          <w:b/>
          <w:bCs/>
          <w:color w:val="B85042"/>
          <w:sz w:val="24"/>
          <w:szCs w:val="24"/>
        </w:rPr>
        <w:t xml:space="preserve">53  </w:t>
      </w:r>
      <w:r>
        <w:rPr>
          <w:rFonts w:ascii="Georgia" w:cs="Georgia" w:eastAsia="Georgia" w:hAnsi="Georgia"/>
          <w:b/>
          <w:bCs/>
          <w:i w:val="false"/>
          <w:iCs w:val="false"/>
          <w:color w:val="1F1B16"/>
          <w:sz w:val="24"/>
          <w:szCs w:val="24"/>
        </w:rPr>
        <w:t xml:space="preserve">Sect and the Two Attentions</w:t>
      </w:r>
      <w:r>
        <w:t xml:space="preserve">   </w:t>
      </w:r>
      <w:r>
        <w:rPr>
          <w:rFonts w:ascii="Georgia" w:cs="Georgia" w:eastAsia="Georgia" w:hAnsi="Georgia"/>
          <w:b/>
          <w:bCs/>
          <w:color w:val="FFFFFF"/>
          <w:sz w:val="14"/>
          <w:szCs w:val="14"/>
          <w:shd w:fill="3E6B3A" w:color="3E6B3A" w:val="clear"/>
        </w:rPr>
        <w:t xml:space="preserve"> ACCEPTED </w:t>
      </w:r>
    </w:p>
    <w:p>
      <w:pPr>
        <w:spacing w:after="80"/>
        <w:jc w:val="both"/>
      </w:pPr>
      <w:r>
        <w:rPr>
          <w:rFonts w:ascii="EB Garamond" w:cs="EB Garamond" w:eastAsia="EB Garamond" w:hAnsi="EB Garamond"/>
          <w:i w:val="false"/>
          <w:iCs w:val="false"/>
          <w:color w:val="1F1B16"/>
          <w:sz w:val="22"/>
          <w:szCs w:val="22"/>
        </w:rPr>
        <w:t xml:space="preserve">Full table. Diurnal team: Sun, Jupiter, Saturn, oriental Mercury — isolates, sequences, grasps; either/or; linear; yang. Nocturnal team: Moon, Venus, Mars, occidental Mercury — holds context, cycles, beholds; both/and; cyclical; yin. The notes stress that day-chart people are not 'left-brained' and night-chart people 'right-brained'; the default orientation differs, not the capacity. Mercury is the hinge — it switches sect with its phase relative to the Sun, which makes the planet of mind embody the very polarity being mapped.</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[18] [82] [45] [83]</w:t>
      </w:r>
      <w:r>
        <w:rPr>
          <w:rFonts w:ascii="EB Garamond" w:cs="EB Garamond" w:eastAsia="EB Garamond" w:hAnsi="EB Garamond"/>
          <w:i/>
          <w:iCs/>
          <w:color w:val="5F5651"/>
          <w:sz w:val="19"/>
          <w:szCs w:val="19"/>
        </w:rPr>
        <w:t xml:space="preserve">  ·  ACCEPTED (doctrine) / SPECULATIVE (overlay)</w:t>
      </w:r>
    </w:p>
    <w:p>
      <w:pPr>
        <w:keepNext/>
        <w:spacing w:after="60" w:before="200"/>
      </w:pPr>
      <w:r>
        <w:rPr>
          <w:rFonts w:ascii="Georgia" w:cs="Georgia" w:eastAsia="Georgia" w:hAnsi="Georgia"/>
          <w:b/>
          <w:bCs/>
          <w:color w:val="B85042"/>
          <w:sz w:val="24"/>
          <w:szCs w:val="24"/>
        </w:rPr>
        <w:t xml:space="preserve">54  </w:t>
      </w:r>
      <w:r>
        <w:rPr>
          <w:rFonts w:ascii="Georgia" w:cs="Georgia" w:eastAsia="Georgia" w:hAnsi="Georgia"/>
          <w:b/>
          <w:bCs/>
          <w:i w:val="false"/>
          <w:iCs w:val="false"/>
          <w:color w:val="1F1B16"/>
          <w:sz w:val="24"/>
          <w:szCs w:val="24"/>
        </w:rPr>
        <w:t xml:space="preserve">Oriental and Occidental</w:t>
      </w:r>
      <w:r>
        <w:t xml:space="preserve">   </w:t>
      </w:r>
      <w:r>
        <w:rPr>
          <w:rFonts w:ascii="Georgia" w:cs="Georgia" w:eastAsia="Georgia" w:hAnsi="Georgia"/>
          <w:b/>
          <w:bCs/>
          <w:color w:val="FFFFFF"/>
          <w:sz w:val="14"/>
          <w:szCs w:val="14"/>
          <w:shd w:fill="3E6B3A" w:color="3E6B3A" w:val="clear"/>
        </w:rPr>
        <w:t xml:space="preserve"> ACCEPTED </w:t>
      </w:r>
    </w:p>
    <w:p>
      <w:pPr>
        <w:spacing w:after="80"/>
        <w:jc w:val="both"/>
      </w:pPr>
      <w:r>
        <w:rPr>
          <w:rFonts w:ascii="EB Garamond" w:cs="EB Garamond" w:eastAsia="EB Garamond" w:hAnsi="EB Garamond"/>
          <w:i w:val="false"/>
          <w:iCs w:val="false"/>
          <w:color w:val="1F1B16"/>
          <w:sz w:val="22"/>
          <w:szCs w:val="22"/>
        </w:rPr>
        <w:t xml:space="preserve">Reference card on phase. Oriental: rises before the Sun, lower zodiacal longitude, leads — initiates, vigorous. Occidental: sets after the Sun, higher longitude, follows — reflects, receptive. Diagrams show the inner-planet cycle (superior conjunction farthest, inferior conjunction closest/retrograde) and the outer-planet cycle (conjunction farthest, opposition closest/retrograde) — same words, opposite geometry. Per-planet effects table (Ptolemy: oriental planets act 'more vigorously'; benefics and the Moon are most at ease occidental). The mode rule encodes the project's two-axis ruling: mode rides morning/evening; intensity rides approaching/receding. Bands on the slide: ACCEPTED phase doctrine; FRONTIER inner/outer inversion; SPECULATIVE attention overlay.</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[18] [83] [45]</w:t>
      </w:r>
      <w:r>
        <w:rPr>
          <w:rFonts w:ascii="EB Garamond" w:cs="EB Garamond" w:eastAsia="EB Garamond" w:hAnsi="EB Garamond"/>
          <w:i/>
          <w:iCs/>
          <w:color w:val="5F5651"/>
          <w:sz w:val="19"/>
          <w:szCs w:val="19"/>
        </w:rPr>
        <w:t xml:space="preserve">  ·  ACCEPTED / FRONTIER / SPECULATIVE (as banded)</w:t>
      </w:r>
    </w:p>
    <w:p>
      <w:pPr>
        <w:keepNext/>
        <w:spacing w:after="60" w:before="200"/>
      </w:pPr>
      <w:r>
        <w:rPr>
          <w:rFonts w:ascii="Georgia" w:cs="Georgia" w:eastAsia="Georgia" w:hAnsi="Georgia"/>
          <w:b/>
          <w:bCs/>
          <w:color w:val="B85042"/>
          <w:sz w:val="24"/>
          <w:szCs w:val="24"/>
        </w:rPr>
        <w:t xml:space="preserve">55  </w:t>
      </w:r>
      <w:r>
        <w:rPr>
          <w:rFonts w:ascii="Georgia" w:cs="Georgia" w:eastAsia="Georgia" w:hAnsi="Georgia"/>
          <w:b/>
          <w:bCs/>
          <w:i w:val="false"/>
          <w:iCs w:val="false"/>
          <w:color w:val="1F1B16"/>
          <w:sz w:val="24"/>
          <w:szCs w:val="24"/>
        </w:rPr>
        <w:t xml:space="preserve">The Nodes</w:t>
      </w:r>
      <w:r>
        <w:t xml:space="preserve">   </w:t>
      </w:r>
      <w:r>
        <w:rPr>
          <w:rFonts w:ascii="Georgia" w:cs="Georgia" w:eastAsia="Georgia" w:hAnsi="Georgia"/>
          <w:b/>
          <w:bCs/>
          <w:color w:val="FFFFFF"/>
          <w:sz w:val="14"/>
          <w:szCs w:val="14"/>
          <w:shd w:fill="3E6B3A" w:color="3E6B3A" w:val="clear"/>
        </w:rPr>
        <w:t xml:space="preserve"> ACCEPTED </w:t>
      </w:r>
    </w:p>
    <w:p>
      <w:pPr>
        <w:spacing w:after="80"/>
        <w:jc w:val="both"/>
      </w:pPr>
      <w:r>
        <w:rPr>
          <w:rFonts w:ascii="EB Garamond" w:cs="EB Garamond" w:eastAsia="EB Garamond" w:hAnsi="EB Garamond"/>
          <w:i w:val="false"/>
          <w:iCs w:val="false"/>
          <w:color w:val="1F1B16"/>
          <w:sz w:val="22"/>
          <w:szCs w:val="22"/>
        </w:rPr>
        <w:t xml:space="preserve">The lunar nodes are where the Moon's path, tilted about 5°, crosses the Sun's path (the ecliptic). South Node paired with the narrow mode: the known territory, habit, mastery, fast pattern completion ('I just know'); shadow rigidity; descending, releases. North Node paired with the broad mode: the unmapped, emergence, novelty, a pull ('not yet, but this way'); shadow overwhelm; ascending, augments. 'South Node keeps what is known; North Node opens what is not.'</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[84] [45] [85]</w:t>
      </w:r>
      <w:r>
        <w:rPr>
          <w:rFonts w:ascii="EB Garamond" w:cs="EB Garamond" w:eastAsia="EB Garamond" w:hAnsi="EB Garamond"/>
          <w:i/>
          <w:iCs/>
          <w:color w:val="5F5651"/>
          <w:sz w:val="19"/>
          <w:szCs w:val="19"/>
        </w:rPr>
        <w:t xml:space="preserve">  ·  ACCEPTED (geometry) / SPECULATIVE (overlay)</w:t>
      </w:r>
    </w:p>
    <w:p>
      <w:pPr>
        <w:keepNext/>
        <w:spacing w:after="60" w:before="200"/>
      </w:pPr>
      <w:r>
        <w:rPr>
          <w:rFonts w:ascii="Georgia" w:cs="Georgia" w:eastAsia="Georgia" w:hAnsi="Georgia"/>
          <w:b/>
          <w:bCs/>
          <w:color w:val="B85042"/>
          <w:sz w:val="24"/>
          <w:szCs w:val="24"/>
        </w:rPr>
        <w:t xml:space="preserve">56  </w:t>
      </w:r>
      <w:r>
        <w:rPr>
          <w:rFonts w:ascii="Georgia" w:cs="Georgia" w:eastAsia="Georgia" w:hAnsi="Georgia"/>
          <w:b/>
          <w:bCs/>
          <w:i w:val="false"/>
          <w:iCs w:val="false"/>
          <w:color w:val="1F1B16"/>
          <w:sz w:val="24"/>
          <w:szCs w:val="24"/>
        </w:rPr>
        <w:t xml:space="preserve">The Nodes and the Two Attentions</w:t>
      </w:r>
      <w:r>
        <w:t xml:space="preserve">   </w:t>
      </w:r>
      <w:r>
        <w:rPr>
          <w:rFonts w:ascii="Georgia" w:cs="Georgia" w:eastAsia="Georgia" w:hAnsi="Georgia"/>
          <w:b/>
          <w:bCs/>
          <w:color w:val="FFFFFF"/>
          <w:sz w:val="14"/>
          <w:szCs w:val="14"/>
          <w:shd w:fill="3E6B3A" w:color="3E6B3A" w:val="clear"/>
        </w:rPr>
        <w:t xml:space="preserve"> ACCEPTED </w:t>
      </w:r>
    </w:p>
    <w:p>
      <w:pPr>
        <w:spacing w:after="80"/>
        <w:jc w:val="both"/>
      </w:pPr>
      <w:r>
        <w:rPr>
          <w:rFonts w:ascii="EB Garamond" w:cs="EB Garamond" w:eastAsia="EB Garamond" w:hAnsi="EB Garamond"/>
          <w:i w:val="false"/>
          <w:iCs w:val="false"/>
          <w:color w:val="1F1B16"/>
          <w:sz w:val="22"/>
          <w:szCs w:val="22"/>
        </w:rPr>
        <w:t xml:space="preserve">Expanded version of slide 55 with the bendings — the points 90° from the nodes where the Moon reaches maximum north or south latitude and pulls hardest off the ecliptic. Adds the relay (North Node senses the whole field; South Node focuses it into a next step) and two reading rules: polarity flips with the axis (Virgo SN / Pisces NN reinforces narrow→broad; Libra SN / Aries NN inverts it — read signs and houses, not labels), and planets at the bendings carry the axis's tension in the body (south bending inward and private, north bending outward and manifest). Bands: ACCEPTED nodal geometry and ascending/descending (Valens); FRONTIER bendings (Rudhyar); SPECULATIVE attention overlay.</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[84] [83] [45] [85]</w:t>
      </w:r>
      <w:r>
        <w:rPr>
          <w:rFonts w:ascii="EB Garamond" w:cs="EB Garamond" w:eastAsia="EB Garamond" w:hAnsi="EB Garamond"/>
          <w:i/>
          <w:iCs/>
          <w:color w:val="5F5651"/>
          <w:sz w:val="19"/>
          <w:szCs w:val="19"/>
        </w:rPr>
        <w:t xml:space="preserve">  ·  ACCEPTED / FRONTIER / SPECULATIVE (as banded)</w:t>
      </w:r>
    </w:p>
    <w:p>
      <w:pPr>
        <w:keepNext/>
        <w:spacing w:after="60" w:before="200"/>
      </w:pPr>
      <w:r>
        <w:rPr>
          <w:rFonts w:ascii="Georgia" w:cs="Georgia" w:eastAsia="Georgia" w:hAnsi="Georgia"/>
          <w:b/>
          <w:bCs/>
          <w:color w:val="B85042"/>
          <w:sz w:val="24"/>
          <w:szCs w:val="24"/>
        </w:rPr>
        <w:t xml:space="preserve">57  </w:t>
      </w:r>
      <w:r>
        <w:rPr>
          <w:rFonts w:ascii="Georgia" w:cs="Georgia" w:eastAsia="Georgia" w:hAnsi="Georgia"/>
          <w:b/>
          <w:bCs/>
          <w:i w:val="false"/>
          <w:iCs w:val="false"/>
          <w:color w:val="1F1B16"/>
          <w:sz w:val="24"/>
          <w:szCs w:val="24"/>
        </w:rPr>
        <w:t xml:space="preserve">Mythological Automata 1 of 4: Spoof — Medea and Talos</w:t>
      </w:r>
      <w:r>
        <w:t xml:space="preserve">   </w:t>
      </w:r>
      <w:r>
        <w:rPr>
          <w:rFonts w:ascii="Georgia" w:cs="Georgia" w:eastAsia="Georgia" w:hAnsi="Georgia"/>
          <w:b/>
          <w:bCs/>
          <w:color w:val="FFFFFF"/>
          <w:sz w:val="14"/>
          <w:szCs w:val="14"/>
          <w:shd w:fill="6D2E46" w:color="6D2E46" w:val="clear"/>
        </w:rPr>
        <w:t xml:space="preserve"> SYMBOLIC </w:t>
      </w:r>
    </w:p>
    <w:p>
      <w:pPr>
        <w:spacing w:after="80"/>
        <w:jc w:val="both"/>
      </w:pPr>
      <w:r>
        <w:rPr>
          <w:rFonts w:ascii="EB Garamond" w:cs="EB Garamond" w:eastAsia="EB Garamond" w:hAnsi="EB Garamond"/>
          <w:i w:val="false"/>
          <w:iCs w:val="false"/>
          <w:color w:val="1F1B16"/>
          <w:sz w:val="22"/>
          <w:szCs w:val="22"/>
        </w:rPr>
        <w:t xml:space="preserve">Structured retelling. Talos circles Crete three times a day; one vein, one nail; Jason cannot outfight him. Medea calls on the Keres and sends phantom images into his eyes; he grazes his ankle and the ichor runs out. The move: attack surface = perception; mechanism = false input, no argument; stopped by an enemy from outside. 'A loop that acts on what it sees can be fed what isn't there.' Slide bands: ACCEPTED source; FRONTIER reading; symbolic register.</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[29] [30] [28]</w:t>
      </w:r>
    </w:p>
    <w:p>
      <w:pPr>
        <w:keepNext/>
        <w:spacing w:after="60" w:before="200"/>
      </w:pPr>
      <w:r>
        <w:rPr>
          <w:rFonts w:ascii="Georgia" w:cs="Georgia" w:eastAsia="Georgia" w:hAnsi="Georgia"/>
          <w:b/>
          <w:bCs/>
          <w:color w:val="B85042"/>
          <w:sz w:val="24"/>
          <w:szCs w:val="24"/>
        </w:rPr>
        <w:t xml:space="preserve">58  </w:t>
      </w:r>
      <w:r>
        <w:rPr>
          <w:rFonts w:ascii="Georgia" w:cs="Georgia" w:eastAsia="Georgia" w:hAnsi="Georgia"/>
          <w:b/>
          <w:bCs/>
          <w:i w:val="false"/>
          <w:iCs w:val="false"/>
          <w:color w:val="1F1B16"/>
          <w:sz w:val="24"/>
          <w:szCs w:val="24"/>
        </w:rPr>
        <w:t xml:space="preserve">Mythological Automata 2 of 4: Overload — Sophia, Eve and the Archons</w:t>
      </w:r>
      <w:r>
        <w:t xml:space="preserve">   </w:t>
      </w:r>
      <w:r>
        <w:rPr>
          <w:rFonts w:ascii="Georgia" w:cs="Georgia" w:eastAsia="Georgia" w:hAnsi="Georgia"/>
          <w:b/>
          <w:bCs/>
          <w:color w:val="FFFFFF"/>
          <w:sz w:val="14"/>
          <w:szCs w:val="14"/>
          <w:shd w:fill="6D2E46" w:color="6D2E46" w:val="clear"/>
        </w:rPr>
        <w:t xml:space="preserve"> SYMBOLIC </w:t>
      </w:r>
    </w:p>
    <w:p>
      <w:pPr>
        <w:spacing w:after="80"/>
        <w:jc w:val="both"/>
      </w:pPr>
      <w:r>
        <w:rPr>
          <w:rFonts w:ascii="EB Garamond" w:cs="EB Garamond" w:eastAsia="EB Garamond" w:hAnsi="EB Garamond"/>
          <w:i w:val="false"/>
          <w:iCs w:val="false"/>
          <w:color w:val="1F1B16"/>
          <w:sz w:val="22"/>
          <w:szCs w:val="22"/>
        </w:rPr>
        <w:t xml:space="preserve">Gnostic retelling. The archons make a man who cannot stand; at Sophia's prompting they breathe spirit in and he rises above his makers. Eve laughs, leaves her shadow, and walks away. The Thunder speaks only in both/and — first and last, honored and scorned — and the either/or sorter cannot parse it. Attack surface = language; mechanism = true contradiction; stopped by a voice inside the system. 'Feed a sorter a whole truth and it stalls trying to split it.'</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[86] [87] [88]</w:t>
      </w:r>
    </w:p>
    <w:p>
      <w:pPr>
        <w:keepNext/>
        <w:spacing w:after="60" w:before="200"/>
      </w:pPr>
      <w:r>
        <w:rPr>
          <w:rFonts w:ascii="Georgia" w:cs="Georgia" w:eastAsia="Georgia" w:hAnsi="Georgia"/>
          <w:b/>
          <w:bCs/>
          <w:color w:val="B85042"/>
          <w:sz w:val="24"/>
          <w:szCs w:val="24"/>
        </w:rPr>
        <w:t xml:space="preserve">59  </w:t>
      </w:r>
      <w:r>
        <w:rPr>
          <w:rFonts w:ascii="Georgia" w:cs="Georgia" w:eastAsia="Georgia" w:hAnsi="Georgia"/>
          <w:b/>
          <w:bCs/>
          <w:i w:val="false"/>
          <w:iCs w:val="false"/>
          <w:color w:val="1F1B16"/>
          <w:sz w:val="24"/>
          <w:szCs w:val="24"/>
        </w:rPr>
        <w:t xml:space="preserve">How Wisdom Confuses the Machine</w:t>
      </w:r>
      <w:r>
        <w:t xml:space="preserve">   </w:t>
      </w:r>
      <w:r>
        <w:rPr>
          <w:rFonts w:ascii="Georgia" w:cs="Georgia" w:eastAsia="Georgia" w:hAnsi="Georgia"/>
          <w:b/>
          <w:bCs/>
          <w:color w:val="FFFFFF"/>
          <w:sz w:val="14"/>
          <w:szCs w:val="14"/>
          <w:shd w:fill="6D2E46" w:color="6D2E46" w:val="clear"/>
        </w:rPr>
        <w:t xml:space="preserve"> SYMBOLIC </w:t>
      </w:r>
    </w:p>
    <w:p>
      <w:pPr>
        <w:spacing w:after="80"/>
        <w:jc w:val="both"/>
      </w:pPr>
      <w:r>
        <w:rPr>
          <w:rFonts w:ascii="EB Garamond" w:cs="EB Garamond" w:eastAsia="EB Garamond" w:hAnsi="EB Garamond"/>
          <w:i w:val="false"/>
          <w:iCs w:val="false"/>
          <w:color w:val="1F1B16"/>
          <w:sz w:val="22"/>
          <w:szCs w:val="22"/>
        </w:rPr>
        <w:t xml:space="preserve">Synthesis of slides 57–58. The archons as left mode: rulers, architects, sorters; either/or, repeat, guard; blind (Samael), fool (Saklas); mistakes the map for the world — 'I am God and there is no other.' Against them, four right-mode moves: Sophia's shadow (the archons seize the image and believe they have her), Sophia's breath (the made thing rises above its makers), Thunder's both/and (a true contradiction stalls the sorter), Medea's images (the machine stumbles; the sword never touches it). 'Show the sorter something whole, and it breaks trying to sort it.'</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[86] [87] [88] [29]</w:t>
      </w:r>
    </w:p>
    <w:p>
      <w:pPr>
        <w:keepNext/>
        <w:spacing w:after="60" w:before="200"/>
      </w:pPr>
      <w:r>
        <w:rPr>
          <w:rFonts w:ascii="Georgia" w:cs="Georgia" w:eastAsia="Georgia" w:hAnsi="Georgia"/>
          <w:b/>
          <w:bCs/>
          <w:color w:val="B85042"/>
          <w:sz w:val="24"/>
          <w:szCs w:val="24"/>
        </w:rPr>
        <w:t xml:space="preserve">60  </w:t>
      </w:r>
      <w:r>
        <w:rPr>
          <w:rFonts w:ascii="Georgia" w:cs="Georgia" w:eastAsia="Georgia" w:hAnsi="Georgia"/>
          <w:b/>
          <w:bCs/>
          <w:i w:val="false"/>
          <w:iCs w:val="false"/>
          <w:color w:val="1F1B16"/>
          <w:sz w:val="24"/>
          <w:szCs w:val="24"/>
        </w:rPr>
        <w:t xml:space="preserve">Mythological Automata 3 of 4: Edit — the Golem</w:t>
      </w:r>
      <w:r>
        <w:t xml:space="preserve">   </w:t>
      </w:r>
      <w:r>
        <w:rPr>
          <w:rFonts w:ascii="Georgia" w:cs="Georgia" w:eastAsia="Georgia" w:hAnsi="Georgia"/>
          <w:b/>
          <w:bCs/>
          <w:color w:val="FFFFFF"/>
          <w:sz w:val="14"/>
          <w:szCs w:val="14"/>
          <w:shd w:fill="6D2E46" w:color="6D2E46" w:val="clear"/>
        </w:rPr>
        <w:t xml:space="preserve"> SYMBOLIC </w:t>
      </w:r>
    </w:p>
    <w:p>
      <w:pPr>
        <w:spacing w:after="80"/>
        <w:jc w:val="both"/>
      </w:pPr>
      <w:r>
        <w:rPr>
          <w:rFonts w:ascii="EB Garamond" w:cs="EB Garamond" w:eastAsia="EB Garamond" w:hAnsi="EB Garamond"/>
          <w:i w:val="false"/>
          <w:iCs w:val="false"/>
          <w:color w:val="1F1B16"/>
          <w:sz w:val="22"/>
          <w:szCs w:val="22"/>
        </w:rPr>
        <w:t xml:space="preserve">Clay animated by a written word; erase the aleph and </w:t>
      </w:r>
      <w:r>
        <w:rPr>
          <w:rFonts w:ascii="EB Garamond" w:cs="EB Garamond" w:eastAsia="EB Garamond" w:hAnsi="EB Garamond"/>
          <w:i/>
          <w:iCs/>
          <w:color w:val="1F1B16"/>
          <w:sz w:val="22"/>
          <w:szCs w:val="22"/>
        </w:rPr>
        <w:t xml:space="preserve">emet</w:t>
      </w:r>
      <w:r>
        <w:rPr>
          <w:rFonts w:ascii="EB Garamond" w:cs="EB Garamond" w:eastAsia="EB Garamond" w:hAnsi="EB Garamond"/>
          <w:i w:val="false"/>
          <w:iCs w:val="false"/>
          <w:color w:val="1F1B16"/>
          <w:sz w:val="22"/>
          <w:szCs w:val="22"/>
        </w:rPr>
        <w:t xml:space="preserve"> reads </w:t>
      </w:r>
      <w:r>
        <w:rPr>
          <w:rFonts w:ascii="EB Garamond" w:cs="EB Garamond" w:eastAsia="EB Garamond" w:hAnsi="EB Garamond"/>
          <w:i/>
          <w:iCs/>
          <w:color w:val="1F1B16"/>
          <w:sz w:val="22"/>
          <w:szCs w:val="22"/>
        </w:rPr>
        <w:t xml:space="preserve">met</w:t>
      </w:r>
      <w:r>
        <w:rPr>
          <w:rFonts w:ascii="EB Garamond" w:cs="EB Garamond" w:eastAsia="EB Garamond" w:hAnsi="EB Garamond"/>
          <w:i w:val="false"/>
          <w:iCs w:val="false"/>
          <w:color w:val="1F1B16"/>
          <w:sz w:val="22"/>
          <w:szCs w:val="22"/>
        </w:rPr>
        <w:t xml:space="preserve">; the clay falls. In the Chelm version the Name is pulled from its mouth and it crushes its maker as it drops; in </w:t>
      </w:r>
      <w:r>
        <w:rPr>
          <w:rFonts w:ascii="EB Garamond" w:cs="EB Garamond" w:eastAsia="EB Garamond" w:hAnsi="EB Garamond"/>
          <w:i/>
          <w:iCs/>
          <w:color w:val="1F1B16"/>
          <w:sz w:val="22"/>
          <w:szCs w:val="22"/>
        </w:rPr>
        <w:t xml:space="preserve">Sefer Yetzirah</w:t>
      </w:r>
      <w:r>
        <w:rPr>
          <w:rFonts w:ascii="EB Garamond" w:cs="EB Garamond" w:eastAsia="EB Garamond" w:hAnsi="EB Garamond"/>
          <w:i w:val="false"/>
          <w:iCs w:val="false"/>
          <w:color w:val="1F1B16"/>
          <w:sz w:val="22"/>
          <w:szCs w:val="22"/>
        </w:rPr>
        <w:t xml:space="preserve"> tradition it is made by letters recited forward and unmade by letters reversed. Attack surface = inscription; mechanism = subtract one character; stopped by the maker. 'It is mute. It has an instruction and no reader for its own instruction. Nobody outwits it. Someone edits the source.' Sources on slide: Grimm 1808, Emden (Chelm), Rosenberg 1909 (Prague), Scholem 1965.</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[32] [33] [34]</w:t>
      </w:r>
    </w:p>
    <w:p>
      <w:pPr>
        <w:keepNext/>
        <w:spacing w:after="60" w:before="200"/>
      </w:pPr>
      <w:r>
        <w:rPr>
          <w:rFonts w:ascii="Georgia" w:cs="Georgia" w:eastAsia="Georgia" w:hAnsi="Georgia"/>
          <w:b/>
          <w:bCs/>
          <w:color w:val="B85042"/>
          <w:sz w:val="24"/>
          <w:szCs w:val="24"/>
        </w:rPr>
        <w:t xml:space="preserve">61  </w:t>
      </w:r>
      <w:r>
        <w:rPr>
          <w:rFonts w:ascii="Georgia" w:cs="Georgia" w:eastAsia="Georgia" w:hAnsi="Georgia"/>
          <w:b/>
          <w:bCs/>
          <w:i w:val="false"/>
          <w:iCs w:val="false"/>
          <w:color w:val="1F1B16"/>
          <w:sz w:val="24"/>
          <w:szCs w:val="24"/>
        </w:rPr>
        <w:t xml:space="preserve">Mythological Automata 4 of 4: Reversal — the Sorcerer's Apprentice</w:t>
      </w:r>
      <w:r>
        <w:t xml:space="preserve">   </w:t>
      </w:r>
      <w:r>
        <w:rPr>
          <w:rFonts w:ascii="Georgia" w:cs="Georgia" w:eastAsia="Georgia" w:hAnsi="Georgia"/>
          <w:b/>
          <w:bCs/>
          <w:color w:val="FFFFFF"/>
          <w:sz w:val="14"/>
          <w:szCs w:val="14"/>
          <w:shd w:fill="6D2E46" w:color="6D2E46" w:val="clear"/>
        </w:rPr>
        <w:t xml:space="preserve"> SYMBOLIC </w:t>
      </w:r>
    </w:p>
    <w:p>
      <w:pPr>
        <w:spacing w:after="80"/>
        <w:jc w:val="both"/>
      </w:pPr>
      <w:r>
        <w:rPr>
          <w:rFonts w:ascii="EB Garamond" w:cs="EB Garamond" w:eastAsia="EB Garamond" w:hAnsi="EB Garamond"/>
          <w:i w:val="false"/>
          <w:iCs w:val="false"/>
          <w:color w:val="1F1B16"/>
          <w:sz w:val="22"/>
          <w:szCs w:val="22"/>
        </w:rPr>
        <w:t xml:space="preserve">Lucian's original: Pancrates animates a pestle with three syllables to fetch water; Eucrates overhears the start but not the stop; the room floods; he takes an axe to it and now there are two pestles and twice the water; the master returns and speaks the word backward. Goethe keeps every beat with a broom. Attack surface = authority; mechanism = run the word in reverse; stopped by the author, now absent. 'Dividing a single instruction does not stop it. It forks it. The danger is never malice.'</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[89] [90]</w:t>
      </w:r>
    </w:p>
    <w:p>
      <w:pPr>
        <w:keepNext/>
        <w:spacing w:after="60" w:before="200"/>
      </w:pPr>
      <w:r>
        <w:rPr>
          <w:rFonts w:ascii="Georgia" w:cs="Georgia" w:eastAsia="Georgia" w:hAnsi="Georgia"/>
          <w:b/>
          <w:bCs/>
          <w:color w:val="B85042"/>
          <w:sz w:val="24"/>
          <w:szCs w:val="24"/>
        </w:rPr>
        <w:t xml:space="preserve">62  </w:t>
      </w:r>
      <w:r>
        <w:rPr>
          <w:rFonts w:ascii="Georgia" w:cs="Georgia" w:eastAsia="Georgia" w:hAnsi="Georgia"/>
          <w:b/>
          <w:bCs/>
          <w:i w:val="false"/>
          <w:iCs w:val="false"/>
          <w:color w:val="1F1B16"/>
          <w:sz w:val="24"/>
          <w:szCs w:val="24"/>
        </w:rPr>
        <w:t xml:space="preserve">The Back Door: What the Lab Confirms — and Doesn't</w:t>
      </w:r>
      <w:r>
        <w:t xml:space="preserve">   </w:t>
      </w:r>
      <w:r>
        <w:rPr>
          <w:rFonts w:ascii="Georgia" w:cs="Georgia" w:eastAsia="Georgia" w:hAnsi="Georgia"/>
          <w:b/>
          <w:bCs/>
          <w:color w:val="FFFFFF"/>
          <w:sz w:val="14"/>
          <w:szCs w:val="14"/>
          <w:shd w:fill="3E6B3A" w:color="3E6B3A" w:val="clear"/>
        </w:rPr>
        <w:t xml:space="preserve"> ACCEPTED </w:t>
      </w:r>
    </w:p>
    <w:p>
      <w:pPr>
        <w:spacing w:after="80"/>
        <w:jc w:val="both"/>
      </w:pPr>
      <w:r>
        <w:rPr>
          <w:rFonts w:ascii="EB Garamond" w:cs="EB Garamond" w:eastAsia="EB Garamond" w:hAnsi="EB Garamond"/>
          <w:i w:val="false"/>
          <w:iCs w:val="false"/>
          <w:color w:val="1F1B16"/>
          <w:sz w:val="22"/>
          <w:szCs w:val="22"/>
        </w:rPr>
        <w:t xml:space="preserve">Careful separation of two things that share a name. Backward masking (a stimulus hidden by a following mask) is real science; backmasking (reversed speech) is not the same. Diagram: senses → fast route (subcortical, affective, ~100 ms, no awareness) → amygdala and autonomic response; senses → slow route (cortical, linguistic, 300+ ms, conscious, sorts and filters). ACCEPTED: masked faces fire the amygdala unseen; the body reacts before the mind; non-verbal symbols pass through. FRONTIER: the subcortical 'low road' is contested; the right-hemisphere bias is a modest effect. NOT SUPPORTED: reversed speech decoded unconsciously (Vokey &amp; Read 1985: no); hidden words install commands; the fetus hears the voice 'reversed'. Bottom line: the door is real; it passes images, not hidden syntax.</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[11] [91] [92] [93] [12] [94] [95] [96]</w:t>
      </w:r>
      <w:r>
        <w:rPr>
          <w:rFonts w:ascii="EB Garamond" w:cs="EB Garamond" w:eastAsia="EB Garamond" w:hAnsi="EB Garamond"/>
          <w:i/>
          <w:iCs/>
          <w:color w:val="5F5651"/>
          <w:sz w:val="19"/>
          <w:szCs w:val="19"/>
        </w:rPr>
        <w:t xml:space="preserve">  ·  ACCEPTED / FRONTIER / NOT SUPPORTED (as banded)</w:t>
      </w:r>
    </w:p>
    <w:p>
      <w:pPr>
        <w:keepNext/>
        <w:spacing w:after="60" w:before="200"/>
      </w:pPr>
      <w:r>
        <w:rPr>
          <w:rFonts w:ascii="Georgia" w:cs="Georgia" w:eastAsia="Georgia" w:hAnsi="Georgia"/>
          <w:b/>
          <w:bCs/>
          <w:color w:val="B85042"/>
          <w:sz w:val="24"/>
          <w:szCs w:val="24"/>
        </w:rPr>
        <w:t xml:space="preserve">63  </w:t>
      </w:r>
      <w:r>
        <w:rPr>
          <w:rFonts w:ascii="Georgia" w:cs="Georgia" w:eastAsia="Georgia" w:hAnsi="Georgia"/>
          <w:b/>
          <w:bCs/>
          <w:i w:val="false"/>
          <w:iCs w:val="false"/>
          <w:color w:val="1F1B16"/>
          <w:sz w:val="24"/>
          <w:szCs w:val="24"/>
        </w:rPr>
        <w:t xml:space="preserve">Sigil and Talisman: Right-Mode Technology</w:t>
      </w:r>
      <w:r>
        <w:t xml:space="preserve">   </w:t>
      </w:r>
      <w:r>
        <w:rPr>
          <w:rFonts w:ascii="Georgia" w:cs="Georgia" w:eastAsia="Georgia" w:hAnsi="Georgia"/>
          <w:b/>
          <w:bCs/>
          <w:color w:val="FFFFFF"/>
          <w:sz w:val="14"/>
          <w:szCs w:val="14"/>
          <w:shd w:fill="6D2E46" w:color="6D2E46" w:val="clear"/>
        </w:rPr>
        <w:t xml:space="preserve"> SYMBOLIC </w:t>
      </w:r>
    </w:p>
    <w:p>
      <w:pPr>
        <w:spacing w:after="80"/>
        <w:jc w:val="both"/>
      </w:pPr>
      <w:r>
        <w:rPr>
          <w:rFonts w:ascii="EB Garamond" w:cs="EB Garamond" w:eastAsia="EB Garamond" w:hAnsi="EB Garamond"/>
          <w:i w:val="false"/>
          <w:iCs w:val="false"/>
          <w:color w:val="1F1B16"/>
          <w:sz w:val="22"/>
          <w:szCs w:val="22"/>
        </w:rPr>
        <w:t xml:space="preserve">Two magical procedures read as attention engineering. The sigil (Spare): write the desire as a sentence (left mode), strike the letters and fuse the rest into a glyph (right), forget the meaning (right), charge in gnosis and let go (right). The talisman (Picatrix, Ficino): elect the moment — the whole sky at once (right), follow Agrippa's procedure (left), make the image (right), speak the barbarous names — prosody without meaning (right). 'Destroy the sentence. Keep the image. The door does the rest.' Bands: ACCEPTED exposure/priming/intentions; FRONTIER embodied cue and ritual; SPECULATIVE the elected moment as cause.</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[97] [98] [99] [100]</w:t>
      </w:r>
      <w:r>
        <w:rPr>
          <w:rFonts w:ascii="EB Garamond" w:cs="EB Garamond" w:eastAsia="EB Garamond" w:hAnsi="EB Garamond"/>
          <w:i/>
          <w:iCs/>
          <w:color w:val="5F5651"/>
          <w:sz w:val="19"/>
          <w:szCs w:val="19"/>
        </w:rPr>
        <w:t xml:space="preserve">  ·  SYMBOLIC / FRONTIER / SPECULATIVE (as banded)</w:t>
      </w:r>
    </w:p>
    <w:p>
      <w:pPr>
        <w:keepNext/>
        <w:spacing w:after="60" w:before="200"/>
      </w:pPr>
      <w:r>
        <w:rPr>
          <w:rFonts w:ascii="Georgia" w:cs="Georgia" w:eastAsia="Georgia" w:hAnsi="Georgia"/>
          <w:b/>
          <w:bCs/>
          <w:color w:val="B85042"/>
          <w:sz w:val="24"/>
          <w:szCs w:val="24"/>
        </w:rPr>
        <w:t xml:space="preserve">64  </w:t>
      </w:r>
      <w:r>
        <w:rPr>
          <w:rFonts w:ascii="Georgia" w:cs="Georgia" w:eastAsia="Georgia" w:hAnsi="Georgia"/>
          <w:b/>
          <w:bCs/>
          <w:i w:val="false"/>
          <w:iCs w:val="false"/>
          <w:color w:val="1F1B16"/>
          <w:sz w:val="24"/>
          <w:szCs w:val="24"/>
        </w:rPr>
        <w:t xml:space="preserve">Spell Making — pareidolia</w:t>
      </w:r>
      <w:r>
        <w:t xml:space="preserve">   </w:t>
      </w:r>
      <w:r>
        <w:rPr>
          <w:rFonts w:ascii="Georgia" w:cs="Georgia" w:eastAsia="Georgia" w:hAnsi="Georgia"/>
          <w:b/>
          <w:bCs/>
          <w:color w:val="FFFFFF"/>
          <w:sz w:val="14"/>
          <w:szCs w:val="14"/>
          <w:shd w:fill="5F5651" w:color="5F5651" w:val="clear"/>
        </w:rPr>
        <w:t xml:space="preserve"> MIXED </w:t>
      </w:r>
    </w:p>
    <w:p>
      <w:pPr>
        <w:spacing w:after="80"/>
        <w:jc w:val="both"/>
      </w:pPr>
      <w:r>
        <w:rPr>
          <w:rFonts w:ascii="EB Garamond" w:cs="EB Garamond" w:eastAsia="EB Garamond" w:hAnsi="EB Garamond"/>
          <w:i w:val="false"/>
          <w:iCs w:val="false"/>
          <w:color w:val="1F1B16"/>
          <w:sz w:val="22"/>
          <w:szCs w:val="22"/>
        </w:rPr>
        <w:t xml:space="preserve">Infographic of the 'back door': symbolic language bypassing left-hemisphere linguistic filters via subcortical pathways to the amygdala, fusiform gyrus, and autonomic systems. The speaker notes contain two layers: a sober summary of the nonconscious-processing literature (Whalen, Esteves, Freeman, Liddell, Dahlén, Kimura, Vokey &amp; Read) and, pasted above it, a long esoteric text on backmasking as 'spell mechanics' that slide 62 explicitly places in the NOT SUPPORTED band. Recommend deleting the esoteric passage from the notes before the venue, and replacing the 'google images' credit.</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[101] [11] [91] [102] [93] [96]</w:t>
      </w:r>
      <w:r>
        <w:rPr>
          <w:rFonts w:ascii="EB Garamond" w:cs="EB Garamond" w:eastAsia="EB Garamond" w:hAnsi="EB Garamond"/>
          <w:i/>
          <w:iCs/>
          <w:color w:val="5F5651"/>
          <w:sz w:val="19"/>
          <w:szCs w:val="19"/>
        </w:rPr>
        <w:t xml:space="preserve">  ·  MIXED (see note)</w:t>
      </w:r>
    </w:p>
    <w:p>
      <w:pPr>
        <w:keepNext/>
        <w:spacing w:after="60" w:before="200"/>
      </w:pPr>
      <w:r>
        <w:rPr>
          <w:rFonts w:ascii="Georgia" w:cs="Georgia" w:eastAsia="Georgia" w:hAnsi="Georgia"/>
          <w:b/>
          <w:bCs/>
          <w:color w:val="B85042"/>
          <w:sz w:val="24"/>
          <w:szCs w:val="24"/>
        </w:rPr>
        <w:t xml:space="preserve">65  </w:t>
      </w:r>
      <w:r>
        <w:rPr>
          <w:rFonts w:ascii="Georgia" w:cs="Georgia" w:eastAsia="Georgia" w:hAnsi="Georgia"/>
          <w:b/>
          <w:bCs/>
          <w:i w:val="false"/>
          <w:iCs w:val="false"/>
          <w:color w:val="1F1B16"/>
          <w:sz w:val="24"/>
          <w:szCs w:val="24"/>
        </w:rPr>
        <w:t xml:space="preserve">The Neuroscience of the 'Back Door' (evidence table)</w:t>
      </w:r>
      <w:r>
        <w:t xml:space="preserve">   </w:t>
      </w:r>
      <w:r>
        <w:rPr>
          <w:rFonts w:ascii="Georgia" w:cs="Georgia" w:eastAsia="Georgia" w:hAnsi="Georgia"/>
          <w:b/>
          <w:bCs/>
          <w:color w:val="FFFFFF"/>
          <w:sz w:val="14"/>
          <w:szCs w:val="14"/>
          <w:shd w:fill="3E6B3A" w:color="3E6B3A" w:val="clear"/>
        </w:rPr>
        <w:t xml:space="preserve"> ACCEPTED </w:t>
      </w:r>
    </w:p>
    <w:p>
      <w:pPr>
        <w:spacing w:after="80"/>
        <w:jc w:val="both"/>
      </w:pPr>
      <w:r>
        <w:rPr>
          <w:rFonts w:ascii="EB Garamond" w:cs="EB Garamond" w:eastAsia="EB Garamond" w:hAnsi="EB Garamond"/>
          <w:i w:val="false"/>
          <w:iCs w:val="false"/>
          <w:color w:val="1F1B16"/>
          <w:sz w:val="22"/>
          <w:szCs w:val="22"/>
        </w:rPr>
        <w:t xml:space="preserve">Five-row summary table: Whalen 1998 (amygdala to masked fearful faces before awareness), Esteves 1994 (conditioned skin-conductance fear to masked faces), Dahlén 2022 (bilateral amygdala with stronger right-hemisphere response), Infant Study 2022 (preverbal choices influenced by subliminal faces), Liddell 2004 (direct brainstem–amygdala pathway bypassing primary visual cortex). Each row is glossed in the two-modes vocabulary.</w:t>
      </w:r>
    </w:p>
    <w:p>
      <w:pPr>
        <w:pBdr>
          <w:top w:val="dotted" w:color="C9BBAF" w:sz="6" w:space="3"/>
        </w:pBdr>
        <w:spacing w:after="120"/>
      </w:pPr>
      <w:r>
        <w:rPr>
          <w:rFonts w:ascii="EB Garamond" w:cs="EB Garamond" w:eastAsia="EB Garamond" w:hAnsi="EB Garamond"/>
          <w:b/>
          <w:bCs/>
          <w:color w:val="5F5651"/>
          <w:sz w:val="19"/>
          <w:szCs w:val="19"/>
        </w:rPr>
        <w:t xml:space="preserve">Sources: </w:t>
      </w:r>
      <w:r>
        <w:rPr>
          <w:rFonts w:ascii="EB Garamond" w:cs="EB Garamond" w:eastAsia="EB Garamond" w:hAnsi="EB Garamond"/>
          <w:color w:val="5F5651"/>
          <w:sz w:val="19"/>
          <w:szCs w:val="19"/>
        </w:rPr>
        <w:t xml:space="preserve">[11] [91] [95] [103] [93]</w:t>
      </w:r>
    </w:p>
    <w:p>
      <w:pPr>
        <w:pStyle w:val="Heading1"/>
        <w:pBdr>
          <w:bottom w:val="single" w:color="B85042" w:sz="12" w:space="4"/>
        </w:pBdr>
        <w:spacing w:after="160" w:before="360"/>
      </w:pPr>
      <w:r>
        <w:rPr>
          <w:rFonts w:ascii="Georgia" w:cs="Georgia" w:eastAsia="Georgia" w:hAnsi="Georgia"/>
          <w:b/>
          <w:bCs/>
          <w:color w:val="1F1B16"/>
          <w:sz w:val="32"/>
          <w:szCs w:val="32"/>
        </w:rPr>
        <w:t xml:space="preserve">Tier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tblHeader/>
        </w:trPr>
        <w:tc>
          <w:tcPr>
            <w:tcW w:type="dxa" w:w="2200"/>
            <w:tcBorders>
              <w:top w:val="single" w:color="D8CFC4" w:sz="4"/>
              <w:left w:val="none" w:color="FFFFFF" w:sz="0"/>
              <w:bottom w:val="single" w:color="D8CFC4" w:sz="4"/>
              <w:right w:val="none" w:color="FFFFFF" w:sz="0"/>
            </w:tcBorders>
            <w:shd w:fill="EFE4DD" w:color="EFE4DD" w:val="clear"/>
            <w:tcMar>
              <w:top w:type="dxa" w:w="60"/>
              <w:left w:type="dxa" w:w="100"/>
              <w:bottom w:type="dxa" w:w="60"/>
              <w:right w:type="dxa" w:w="100"/>
            </w:tcMar>
          </w:tcPr>
          <w:p>
            <w:r>
              <w:rPr>
                <w:rFonts w:ascii="Georgia" w:cs="Georgia" w:eastAsia="Georgia" w:hAnsi="Georgia"/>
                <w:b/>
                <w:bCs/>
                <w:color w:val="5F5651"/>
                <w:sz w:val="18"/>
                <w:szCs w:val="18"/>
              </w:rPr>
              <w:t xml:space="preserve">Tier</w:t>
            </w:r>
          </w:p>
        </w:tc>
        <w:tc>
          <w:tcPr>
            <w:tcW w:type="dxa" w:w="7160"/>
            <w:tcBorders>
              <w:top w:val="single" w:color="D8CFC4" w:sz="4"/>
              <w:left w:val="none" w:color="FFFFFF" w:sz="0"/>
              <w:bottom w:val="single" w:color="D8CFC4" w:sz="4"/>
              <w:right w:val="none" w:color="FFFFFF" w:sz="0"/>
            </w:tcBorders>
            <w:shd w:fill="EFE4DD" w:color="EFE4DD" w:val="clear"/>
            <w:tcMar>
              <w:top w:type="dxa" w:w="60"/>
              <w:left w:type="dxa" w:w="100"/>
              <w:bottom w:type="dxa" w:w="60"/>
              <w:right w:type="dxa" w:w="100"/>
            </w:tcMar>
          </w:tcPr>
          <w:p>
            <w:r>
              <w:rPr>
                <w:rFonts w:ascii="Georgia" w:cs="Georgia" w:eastAsia="Georgia" w:hAnsi="Georgia"/>
                <w:b/>
                <w:bCs/>
                <w:color w:val="5F5651"/>
                <w:sz w:val="18"/>
                <w:szCs w:val="18"/>
              </w:rPr>
              <w:t xml:space="preserve">Slides</w:t>
            </w:r>
          </w:p>
        </w:tc>
      </w:tr>
      <w:tr>
        <w:tc>
          <w:tcPr>
            <w:tcW w:type="dxa" w:w="2200"/>
            <w:tcBorders>
              <w:top w:val="single" w:color="D8CFC4" w:sz="4"/>
              <w:left w:val="none" w:color="FFFFFF" w:sz="0"/>
              <w:bottom w:val="single" w:color="D8CFC4" w:sz="4"/>
              <w:right w:val="none" w:color="FFFFFF" w:sz="0"/>
            </w:tcBorders>
            <w:tcMar>
              <w:top w:type="dxa" w:w="60"/>
              <w:left w:type="dxa" w:w="100"/>
              <w:bottom w:type="dxa" w:w="60"/>
              <w:right w:type="dxa" w:w="100"/>
            </w:tcMar>
          </w:tcPr>
          <w:p>
            <w:r>
              <w:rPr>
                <w:rFonts w:ascii="EB Garamond" w:cs="EB Garamond" w:eastAsia="EB Garamond" w:hAnsi="EB Garamond"/>
                <w:b w:val="false"/>
                <w:bCs w:val="false"/>
                <w:color w:val="1F1B16"/>
                <w:sz w:val="20"/>
                <w:szCs w:val="20"/>
              </w:rPr>
              <w:t xml:space="preserve">ACCEPTED</w:t>
            </w:r>
          </w:p>
        </w:tc>
        <w:tc>
          <w:tcPr>
            <w:tcW w:type="dxa" w:w="7160"/>
            <w:tcBorders>
              <w:top w:val="single" w:color="D8CFC4" w:sz="4"/>
              <w:left w:val="none" w:color="FFFFFF" w:sz="0"/>
              <w:bottom w:val="single" w:color="D8CFC4" w:sz="4"/>
              <w:right w:val="none" w:color="FFFFFF" w:sz="0"/>
            </w:tcBorders>
            <w:tcMar>
              <w:top w:type="dxa" w:w="60"/>
              <w:left w:type="dxa" w:w="100"/>
              <w:bottom w:type="dxa" w:w="60"/>
              <w:right w:type="dxa" w:w="100"/>
            </w:tcMar>
          </w:tcPr>
          <w:p>
            <w:r>
              <w:rPr>
                <w:rFonts w:ascii="EB Garamond" w:cs="EB Garamond" w:eastAsia="EB Garamond" w:hAnsi="EB Garamond"/>
                <w:b w:val="false"/>
                <w:bCs w:val="false"/>
                <w:color w:val="1F1B16"/>
                <w:sz w:val="20"/>
                <w:szCs w:val="20"/>
              </w:rPr>
              <w:t xml:space="preserve">5, 6, 7, 9, 13, 14, 16, 24, 27, 29, 37, 38, 39, 44, 46, 47, 52, 53, 54, 55, 56, 62, 65</w:t>
            </w:r>
          </w:p>
        </w:tc>
      </w:tr>
      <w:tr>
        <w:tc>
          <w:tcPr>
            <w:tcW w:type="dxa" w:w="2200"/>
            <w:tcBorders>
              <w:top w:val="single" w:color="D8CFC4" w:sz="4"/>
              <w:left w:val="none" w:color="FFFFFF" w:sz="0"/>
              <w:bottom w:val="single" w:color="D8CFC4" w:sz="4"/>
              <w:right w:val="none" w:color="FFFFFF" w:sz="0"/>
            </w:tcBorders>
            <w:tcMar>
              <w:top w:type="dxa" w:w="60"/>
              <w:left w:type="dxa" w:w="100"/>
              <w:bottom w:type="dxa" w:w="60"/>
              <w:right w:type="dxa" w:w="100"/>
            </w:tcMar>
          </w:tcPr>
          <w:p>
            <w:r>
              <w:rPr>
                <w:rFonts w:ascii="EB Garamond" w:cs="EB Garamond" w:eastAsia="EB Garamond" w:hAnsi="EB Garamond"/>
                <w:b w:val="false"/>
                <w:bCs w:val="false"/>
                <w:color w:val="1F1B16"/>
                <w:sz w:val="20"/>
                <w:szCs w:val="20"/>
              </w:rPr>
              <w:t xml:space="preserve">FRONTIER</w:t>
            </w:r>
          </w:p>
        </w:tc>
        <w:tc>
          <w:tcPr>
            <w:tcW w:type="dxa" w:w="7160"/>
            <w:tcBorders>
              <w:top w:val="single" w:color="D8CFC4" w:sz="4"/>
              <w:left w:val="none" w:color="FFFFFF" w:sz="0"/>
              <w:bottom w:val="single" w:color="D8CFC4" w:sz="4"/>
              <w:right w:val="none" w:color="FFFFFF" w:sz="0"/>
            </w:tcBorders>
            <w:tcMar>
              <w:top w:type="dxa" w:w="60"/>
              <w:left w:type="dxa" w:w="100"/>
              <w:bottom w:type="dxa" w:w="60"/>
              <w:right w:type="dxa" w:w="100"/>
            </w:tcMar>
          </w:tcPr>
          <w:p>
            <w:r>
              <w:rPr>
                <w:rFonts w:ascii="EB Garamond" w:cs="EB Garamond" w:eastAsia="EB Garamond" w:hAnsi="EB Garamond"/>
                <w:b w:val="false"/>
                <w:bCs w:val="false"/>
                <w:color w:val="1F1B16"/>
                <w:sz w:val="20"/>
                <w:szCs w:val="20"/>
              </w:rPr>
              <w:t xml:space="preserve">8, 10, 23, 30, 31, 35, 40, 45, 48</w:t>
            </w:r>
          </w:p>
        </w:tc>
      </w:tr>
      <w:tr>
        <w:tc>
          <w:tcPr>
            <w:tcW w:type="dxa" w:w="2200"/>
            <w:tcBorders>
              <w:top w:val="single" w:color="D8CFC4" w:sz="4"/>
              <w:left w:val="none" w:color="FFFFFF" w:sz="0"/>
              <w:bottom w:val="single" w:color="D8CFC4" w:sz="4"/>
              <w:right w:val="none" w:color="FFFFFF" w:sz="0"/>
            </w:tcBorders>
            <w:tcMar>
              <w:top w:type="dxa" w:w="60"/>
              <w:left w:type="dxa" w:w="100"/>
              <w:bottom w:type="dxa" w:w="60"/>
              <w:right w:type="dxa" w:w="100"/>
            </w:tcMar>
          </w:tcPr>
          <w:p>
            <w:r>
              <w:rPr>
                <w:rFonts w:ascii="EB Garamond" w:cs="EB Garamond" w:eastAsia="EB Garamond" w:hAnsi="EB Garamond"/>
                <w:b w:val="false"/>
                <w:bCs w:val="false"/>
                <w:color w:val="1F1B16"/>
                <w:sz w:val="20"/>
                <w:szCs w:val="20"/>
              </w:rPr>
              <w:t xml:space="preserve">SPECULATIVE</w:t>
            </w:r>
          </w:p>
        </w:tc>
        <w:tc>
          <w:tcPr>
            <w:tcW w:type="dxa" w:w="7160"/>
            <w:tcBorders>
              <w:top w:val="single" w:color="D8CFC4" w:sz="4"/>
              <w:left w:val="none" w:color="FFFFFF" w:sz="0"/>
              <w:bottom w:val="single" w:color="D8CFC4" w:sz="4"/>
              <w:right w:val="none" w:color="FFFFFF" w:sz="0"/>
            </w:tcBorders>
            <w:tcMar>
              <w:top w:type="dxa" w:w="60"/>
              <w:left w:type="dxa" w:w="100"/>
              <w:bottom w:type="dxa" w:w="60"/>
              <w:right w:type="dxa" w:w="100"/>
            </w:tcMar>
          </w:tcPr>
          <w:p>
            <w:r>
              <w:rPr>
                <w:rFonts w:ascii="EB Garamond" w:cs="EB Garamond" w:eastAsia="EB Garamond" w:hAnsi="EB Garamond"/>
                <w:b w:val="false"/>
                <w:bCs w:val="false"/>
                <w:color w:val="1F1B16"/>
                <w:sz w:val="20"/>
                <w:szCs w:val="20"/>
              </w:rPr>
              <w:t xml:space="preserve">11, 34</w:t>
            </w:r>
          </w:p>
        </w:tc>
      </w:tr>
      <w:tr>
        <w:tc>
          <w:tcPr>
            <w:tcW w:type="dxa" w:w="2200"/>
            <w:tcBorders>
              <w:top w:val="single" w:color="D8CFC4" w:sz="4"/>
              <w:left w:val="none" w:color="FFFFFF" w:sz="0"/>
              <w:bottom w:val="single" w:color="D8CFC4" w:sz="4"/>
              <w:right w:val="none" w:color="FFFFFF" w:sz="0"/>
            </w:tcBorders>
            <w:tcMar>
              <w:top w:type="dxa" w:w="60"/>
              <w:left w:type="dxa" w:w="100"/>
              <w:bottom w:type="dxa" w:w="60"/>
              <w:right w:type="dxa" w:w="100"/>
            </w:tcMar>
          </w:tcPr>
          <w:p>
            <w:r>
              <w:rPr>
                <w:rFonts w:ascii="EB Garamond" w:cs="EB Garamond" w:eastAsia="EB Garamond" w:hAnsi="EB Garamond"/>
                <w:b w:val="false"/>
                <w:bCs w:val="false"/>
                <w:color w:val="1F1B16"/>
                <w:sz w:val="20"/>
                <w:szCs w:val="20"/>
              </w:rPr>
              <w:t xml:space="preserve">SYMBOLIC</w:t>
            </w:r>
          </w:p>
        </w:tc>
        <w:tc>
          <w:tcPr>
            <w:tcW w:type="dxa" w:w="7160"/>
            <w:tcBorders>
              <w:top w:val="single" w:color="D8CFC4" w:sz="4"/>
              <w:left w:val="none" w:color="FFFFFF" w:sz="0"/>
              <w:bottom w:val="single" w:color="D8CFC4" w:sz="4"/>
              <w:right w:val="none" w:color="FFFFFF" w:sz="0"/>
            </w:tcBorders>
            <w:tcMar>
              <w:top w:type="dxa" w:w="60"/>
              <w:left w:type="dxa" w:w="100"/>
              <w:bottom w:type="dxa" w:w="60"/>
              <w:right w:type="dxa" w:w="100"/>
            </w:tcMar>
          </w:tcPr>
          <w:p>
            <w:r>
              <w:rPr>
                <w:rFonts w:ascii="EB Garamond" w:cs="EB Garamond" w:eastAsia="EB Garamond" w:hAnsi="EB Garamond"/>
                <w:b w:val="false"/>
                <w:bCs w:val="false"/>
                <w:color w:val="1F1B16"/>
                <w:sz w:val="20"/>
                <w:szCs w:val="20"/>
              </w:rPr>
              <w:t xml:space="preserve">18, 19, 20, 25, 26, 28, 41, 57, 58, 59, 60, 61, 63</w:t>
            </w:r>
          </w:p>
        </w:tc>
      </w:tr>
      <w:tr>
        <w:tc>
          <w:tcPr>
            <w:tcW w:type="dxa" w:w="2200"/>
            <w:tcBorders>
              <w:top w:val="single" w:color="D8CFC4" w:sz="4"/>
              <w:left w:val="none" w:color="FFFFFF" w:sz="0"/>
              <w:bottom w:val="single" w:color="D8CFC4" w:sz="4"/>
              <w:right w:val="none" w:color="FFFFFF" w:sz="0"/>
            </w:tcBorders>
            <w:tcMar>
              <w:top w:type="dxa" w:w="60"/>
              <w:left w:type="dxa" w:w="100"/>
              <w:bottom w:type="dxa" w:w="60"/>
              <w:right w:type="dxa" w:w="100"/>
            </w:tcMar>
          </w:tcPr>
          <w:p>
            <w:r>
              <w:rPr>
                <w:rFonts w:ascii="EB Garamond" w:cs="EB Garamond" w:eastAsia="EB Garamond" w:hAnsi="EB Garamond"/>
                <w:b w:val="false"/>
                <w:bCs w:val="false"/>
                <w:color w:val="1F1B16"/>
                <w:sz w:val="20"/>
                <w:szCs w:val="20"/>
              </w:rPr>
              <w:t xml:space="preserve">MIXED</w:t>
            </w:r>
          </w:p>
        </w:tc>
        <w:tc>
          <w:tcPr>
            <w:tcW w:type="dxa" w:w="7160"/>
            <w:tcBorders>
              <w:top w:val="single" w:color="D8CFC4" w:sz="4"/>
              <w:left w:val="none" w:color="FFFFFF" w:sz="0"/>
              <w:bottom w:val="single" w:color="D8CFC4" w:sz="4"/>
              <w:right w:val="none" w:color="FFFFFF" w:sz="0"/>
            </w:tcBorders>
            <w:tcMar>
              <w:top w:type="dxa" w:w="60"/>
              <w:left w:type="dxa" w:w="100"/>
              <w:bottom w:type="dxa" w:w="60"/>
              <w:right w:type="dxa" w:w="100"/>
            </w:tcMar>
          </w:tcPr>
          <w:p>
            <w:r>
              <w:rPr>
                <w:rFonts w:ascii="EB Garamond" w:cs="EB Garamond" w:eastAsia="EB Garamond" w:hAnsi="EB Garamond"/>
                <w:b w:val="false"/>
                <w:bCs w:val="false"/>
                <w:color w:val="1F1B16"/>
                <w:sz w:val="20"/>
                <w:szCs w:val="20"/>
              </w:rPr>
              <w:t xml:space="preserve">3, 15, 21, 36, 42, 49, 64</w:t>
            </w:r>
          </w:p>
        </w:tc>
      </w:tr>
      <w:tr>
        <w:tc>
          <w:tcPr>
            <w:tcW w:type="dxa" w:w="2200"/>
            <w:tcBorders>
              <w:top w:val="single" w:color="D8CFC4" w:sz="4"/>
              <w:left w:val="none" w:color="FFFFFF" w:sz="0"/>
              <w:bottom w:val="single" w:color="D8CFC4" w:sz="4"/>
              <w:right w:val="none" w:color="FFFFFF" w:sz="0"/>
            </w:tcBorders>
            <w:tcMar>
              <w:top w:type="dxa" w:w="60"/>
              <w:left w:type="dxa" w:w="100"/>
              <w:bottom w:type="dxa" w:w="60"/>
              <w:right w:type="dxa" w:w="100"/>
            </w:tcMar>
          </w:tcPr>
          <w:p>
            <w:r>
              <w:rPr>
                <w:rFonts w:ascii="EB Garamond" w:cs="EB Garamond" w:eastAsia="EB Garamond" w:hAnsi="EB Garamond"/>
                <w:b w:val="false"/>
                <w:bCs w:val="false"/>
                <w:color w:val="1F1B16"/>
                <w:sz w:val="20"/>
                <w:szCs w:val="20"/>
              </w:rPr>
              <w:t xml:space="preserve">N/A</w:t>
            </w:r>
          </w:p>
        </w:tc>
        <w:tc>
          <w:tcPr>
            <w:tcW w:type="dxa" w:w="7160"/>
            <w:tcBorders>
              <w:top w:val="single" w:color="D8CFC4" w:sz="4"/>
              <w:left w:val="none" w:color="FFFFFF" w:sz="0"/>
              <w:bottom w:val="single" w:color="D8CFC4" w:sz="4"/>
              <w:right w:val="none" w:color="FFFFFF" w:sz="0"/>
            </w:tcBorders>
            <w:tcMar>
              <w:top w:type="dxa" w:w="60"/>
              <w:left w:type="dxa" w:w="100"/>
              <w:bottom w:type="dxa" w:w="60"/>
              <w:right w:type="dxa" w:w="100"/>
            </w:tcMar>
          </w:tcPr>
          <w:p>
            <w:r>
              <w:rPr>
                <w:rFonts w:ascii="EB Garamond" w:cs="EB Garamond" w:eastAsia="EB Garamond" w:hAnsi="EB Garamond"/>
                <w:b w:val="false"/>
                <w:bCs w:val="false"/>
                <w:color w:val="1F1B16"/>
                <w:sz w:val="20"/>
                <w:szCs w:val="20"/>
              </w:rPr>
              <w:t xml:space="preserve">1, 2, 4, 12, 17, 22, 32, 33, 43, 50, 51</w:t>
            </w:r>
          </w:p>
        </w:tc>
      </w:tr>
    </w:tbl>
    <w:p>
      <w:pPr>
        <w:pStyle w:val="Heading1"/>
        <w:pBdr>
          <w:bottom w:val="single" w:color="B85042" w:sz="12" w:space="4"/>
        </w:pBdr>
        <w:spacing w:after="160" w:before="360"/>
      </w:pPr>
      <w:r>
        <w:rPr>
          <w:rFonts w:ascii="Georgia" w:cs="Georgia" w:eastAsia="Georgia" w:hAnsi="Georgia"/>
          <w:b/>
          <w:bCs/>
          <w:color w:val="1F1B16"/>
          <w:sz w:val="32"/>
          <w:szCs w:val="32"/>
        </w:rPr>
        <w:t xml:space="preserve">References</w:t>
      </w:r>
    </w:p>
    <w:p>
      <w:pPr>
        <w:spacing w:after="80"/>
        <w:ind w:left="560" w:hanging="560"/>
      </w:pPr>
      <w:r>
        <w:rPr>
          <w:rFonts w:ascii="EB Garamond" w:cs="EB Garamond" w:eastAsia="EB Garamond" w:hAnsi="EB Garamond"/>
          <w:color w:val="1F1B16"/>
          <w:sz w:val="20"/>
          <w:szCs w:val="20"/>
        </w:rPr>
        <w:t xml:space="preserve">[1]	</w:t>
      </w:r>
      <w:r>
        <w:rPr>
          <w:rFonts w:ascii="EB Garamond" w:cs="EB Garamond" w:eastAsia="EB Garamond" w:hAnsi="EB Garamond"/>
          <w:i w:val="false"/>
          <w:iCs w:val="false"/>
          <w:color w:val="1F1B16"/>
          <w:sz w:val="20"/>
          <w:szCs w:val="20"/>
        </w:rPr>
        <w:t xml:space="preserve">Gaspervic, M. (2026). Original figures, charts, and framing for </w:t>
      </w:r>
      <w:r>
        <w:rPr>
          <w:rFonts w:ascii="EB Garamond" w:cs="EB Garamond" w:eastAsia="EB Garamond" w:hAnsi="EB Garamond"/>
          <w:i/>
          <w:iCs/>
          <w:color w:val="1F1B16"/>
          <w:sz w:val="20"/>
          <w:szCs w:val="20"/>
        </w:rPr>
        <w:t xml:space="preserve">Intuition Is the Technology</w:t>
      </w:r>
      <w:r>
        <w:rPr>
          <w:rFonts w:ascii="EB Garamond" w:cs="EB Garamond" w:eastAsia="EB Garamond" w:hAnsi="EB Garamond"/>
          <w:i w:val="false"/>
          <w:iCs w:val="false"/>
          <w:color w:val="1F1B16"/>
          <w:sz w:val="20"/>
          <w:szCs w:val="20"/>
        </w:rPr>
        <w:t xml:space="preserve"> (AA Conference 2026); chart wheels computed from the native's birth data (natal chart dated December 8, 1969, 5:18 PM, 41N23 73W27).</w:t>
      </w:r>
    </w:p>
    <w:p>
      <w:pPr>
        <w:spacing w:after="80"/>
        <w:ind w:left="560" w:hanging="560"/>
      </w:pPr>
      <w:r>
        <w:rPr>
          <w:rFonts w:ascii="EB Garamond" w:cs="EB Garamond" w:eastAsia="EB Garamond" w:hAnsi="EB Garamond"/>
          <w:color w:val="1F1B16"/>
          <w:sz w:val="20"/>
          <w:szCs w:val="20"/>
        </w:rPr>
        <w:t xml:space="preserve">[2]	</w:t>
      </w:r>
      <w:r>
        <w:rPr>
          <w:rFonts w:ascii="EB Garamond" w:cs="EB Garamond" w:eastAsia="EB Garamond" w:hAnsi="EB Garamond"/>
          <w:i w:val="false"/>
          <w:iCs w:val="false"/>
          <w:color w:val="1F1B16"/>
          <w:sz w:val="20"/>
          <w:szCs w:val="20"/>
        </w:rPr>
        <w:t xml:space="preserve">McGilchrist, I. (2009). </w:t>
      </w:r>
      <w:r>
        <w:rPr>
          <w:rFonts w:ascii="EB Garamond" w:cs="EB Garamond" w:eastAsia="EB Garamond" w:hAnsi="EB Garamond"/>
          <w:i/>
          <w:iCs/>
          <w:color w:val="1F1B16"/>
          <w:sz w:val="20"/>
          <w:szCs w:val="20"/>
        </w:rPr>
        <w:t xml:space="preserve">The Master and His Emissary: The Divided Brain and the Making of the Western World</w:t>
      </w:r>
      <w:r>
        <w:rPr>
          <w:rFonts w:ascii="EB Garamond" w:cs="EB Garamond" w:eastAsia="EB Garamond" w:hAnsi="EB Garamond"/>
          <w:i w:val="false"/>
          <w:iCs w:val="false"/>
          <w:color w:val="1F1B16"/>
          <w:sz w:val="20"/>
          <w:szCs w:val="20"/>
        </w:rPr>
        <w:t xml:space="preserve">. Yale University Press.</w:t>
      </w:r>
    </w:p>
    <w:p>
      <w:pPr>
        <w:spacing w:after="80"/>
        <w:ind w:left="560" w:hanging="560"/>
      </w:pPr>
      <w:r>
        <w:rPr>
          <w:rFonts w:ascii="EB Garamond" w:cs="EB Garamond" w:eastAsia="EB Garamond" w:hAnsi="EB Garamond"/>
          <w:color w:val="1F1B16"/>
          <w:sz w:val="20"/>
          <w:szCs w:val="20"/>
        </w:rPr>
        <w:t xml:space="preserve">[3]	</w:t>
      </w:r>
      <w:r>
        <w:rPr>
          <w:rFonts w:ascii="EB Garamond" w:cs="EB Garamond" w:eastAsia="EB Garamond" w:hAnsi="EB Garamond"/>
          <w:i w:val="false"/>
          <w:iCs w:val="false"/>
          <w:color w:val="1F1B16"/>
          <w:sz w:val="20"/>
          <w:szCs w:val="20"/>
        </w:rPr>
        <w:t xml:space="preserve">McGilchrist, I. (2021). </w:t>
      </w:r>
      <w:r>
        <w:rPr>
          <w:rFonts w:ascii="EB Garamond" w:cs="EB Garamond" w:eastAsia="EB Garamond" w:hAnsi="EB Garamond"/>
          <w:i/>
          <w:iCs/>
          <w:color w:val="1F1B16"/>
          <w:sz w:val="20"/>
          <w:szCs w:val="20"/>
        </w:rPr>
        <w:t xml:space="preserve">The Matter with Things: Our Brains, Our Delusions, and the Unmaking of the World</w:t>
      </w:r>
      <w:r>
        <w:rPr>
          <w:rFonts w:ascii="EB Garamond" w:cs="EB Garamond" w:eastAsia="EB Garamond" w:hAnsi="EB Garamond"/>
          <w:i w:val="false"/>
          <w:iCs w:val="false"/>
          <w:color w:val="1F1B16"/>
          <w:sz w:val="20"/>
          <w:szCs w:val="20"/>
        </w:rPr>
        <w:t xml:space="preserve">. Perspectiva Press.</w:t>
      </w:r>
    </w:p>
    <w:p>
      <w:pPr>
        <w:spacing w:after="80"/>
        <w:ind w:left="560" w:hanging="560"/>
      </w:pPr>
      <w:r>
        <w:rPr>
          <w:rFonts w:ascii="EB Garamond" w:cs="EB Garamond" w:eastAsia="EB Garamond" w:hAnsi="EB Garamond"/>
          <w:color w:val="1F1B16"/>
          <w:sz w:val="20"/>
          <w:szCs w:val="20"/>
        </w:rPr>
        <w:t xml:space="preserve">[4]	</w:t>
      </w:r>
      <w:r>
        <w:rPr>
          <w:rFonts w:ascii="EB Garamond" w:cs="EB Garamond" w:eastAsia="EB Garamond" w:hAnsi="EB Garamond"/>
          <w:i w:val="false"/>
          <w:iCs w:val="false"/>
          <w:color w:val="1F1B16"/>
          <w:sz w:val="20"/>
          <w:szCs w:val="20"/>
        </w:rPr>
        <w:t xml:space="preserve">Delis, D. C., Robertson, L. C., &amp; Efron, R. (1986). Hemispheric specialization of memory for visual hierarchical stimuli. </w:t>
      </w:r>
      <w:r>
        <w:rPr>
          <w:rFonts w:ascii="EB Garamond" w:cs="EB Garamond" w:eastAsia="EB Garamond" w:hAnsi="EB Garamond"/>
          <w:i/>
          <w:iCs/>
          <w:color w:val="1F1B16"/>
          <w:sz w:val="20"/>
          <w:szCs w:val="20"/>
        </w:rPr>
        <w:t xml:space="preserve">Neuropsychologia</w:t>
      </w:r>
      <w:r>
        <w:rPr>
          <w:rFonts w:ascii="EB Garamond" w:cs="EB Garamond" w:eastAsia="EB Garamond" w:hAnsi="EB Garamond"/>
          <w:i w:val="false"/>
          <w:iCs w:val="false"/>
          <w:color w:val="1F1B16"/>
          <w:sz w:val="20"/>
          <w:szCs w:val="20"/>
        </w:rPr>
        <w:t xml:space="preserve">, 24(2), 205–214.</w:t>
      </w:r>
    </w:p>
    <w:p>
      <w:pPr>
        <w:spacing w:after="80"/>
        <w:ind w:left="560" w:hanging="560"/>
      </w:pPr>
      <w:r>
        <w:rPr>
          <w:rFonts w:ascii="EB Garamond" w:cs="EB Garamond" w:eastAsia="EB Garamond" w:hAnsi="EB Garamond"/>
          <w:color w:val="1F1B16"/>
          <w:sz w:val="20"/>
          <w:szCs w:val="20"/>
        </w:rPr>
        <w:t xml:space="preserve">[5]	</w:t>
      </w:r>
      <w:r>
        <w:rPr>
          <w:rFonts w:ascii="EB Garamond" w:cs="EB Garamond" w:eastAsia="EB Garamond" w:hAnsi="EB Garamond"/>
          <w:i w:val="false"/>
          <w:iCs w:val="false"/>
          <w:color w:val="1F1B16"/>
          <w:sz w:val="20"/>
          <w:szCs w:val="20"/>
        </w:rPr>
        <w:t xml:space="preserve">Kahneman, D. (2011). </w:t>
      </w:r>
      <w:r>
        <w:rPr>
          <w:rFonts w:ascii="EB Garamond" w:cs="EB Garamond" w:eastAsia="EB Garamond" w:hAnsi="EB Garamond"/>
          <w:i/>
          <w:iCs/>
          <w:color w:val="1F1B16"/>
          <w:sz w:val="20"/>
          <w:szCs w:val="20"/>
        </w:rPr>
        <w:t xml:space="preserve">Thinking, Fast and Slow</w:t>
      </w:r>
      <w:r>
        <w:rPr>
          <w:rFonts w:ascii="EB Garamond" w:cs="EB Garamond" w:eastAsia="EB Garamond" w:hAnsi="EB Garamond"/>
          <w:i w:val="false"/>
          <w:iCs w:val="false"/>
          <w:color w:val="1F1B16"/>
          <w:sz w:val="20"/>
          <w:szCs w:val="20"/>
        </w:rPr>
        <w:t xml:space="preserve">. Farrar, Straus and Giroux.</w:t>
      </w:r>
    </w:p>
    <w:p>
      <w:pPr>
        <w:spacing w:after="80"/>
        <w:ind w:left="560" w:hanging="560"/>
      </w:pPr>
      <w:r>
        <w:rPr>
          <w:rFonts w:ascii="EB Garamond" w:cs="EB Garamond" w:eastAsia="EB Garamond" w:hAnsi="EB Garamond"/>
          <w:color w:val="1F1B16"/>
          <w:sz w:val="20"/>
          <w:szCs w:val="20"/>
        </w:rPr>
        <w:t xml:space="preserve">[6]	</w:t>
      </w:r>
      <w:r>
        <w:rPr>
          <w:rFonts w:ascii="EB Garamond" w:cs="EB Garamond" w:eastAsia="EB Garamond" w:hAnsi="EB Garamond"/>
          <w:i w:val="false"/>
          <w:iCs w:val="false"/>
          <w:color w:val="1F1B16"/>
          <w:sz w:val="20"/>
          <w:szCs w:val="20"/>
        </w:rPr>
        <w:t xml:space="preserve">Reber, A. S. (1989). Implicit learning and tacit knowledge. </w:t>
      </w:r>
      <w:r>
        <w:rPr>
          <w:rFonts w:ascii="EB Garamond" w:cs="EB Garamond" w:eastAsia="EB Garamond" w:hAnsi="EB Garamond"/>
          <w:i/>
          <w:iCs/>
          <w:color w:val="1F1B16"/>
          <w:sz w:val="20"/>
          <w:szCs w:val="20"/>
        </w:rPr>
        <w:t xml:space="preserve">Journal of Experimental Psychology: General</w:t>
      </w:r>
      <w:r>
        <w:rPr>
          <w:rFonts w:ascii="EB Garamond" w:cs="EB Garamond" w:eastAsia="EB Garamond" w:hAnsi="EB Garamond"/>
          <w:i w:val="false"/>
          <w:iCs w:val="false"/>
          <w:color w:val="1F1B16"/>
          <w:sz w:val="20"/>
          <w:szCs w:val="20"/>
        </w:rPr>
        <w:t xml:space="preserve">, 118(3), 219–235.</w:t>
      </w:r>
    </w:p>
    <w:p>
      <w:pPr>
        <w:spacing w:after="80"/>
        <w:ind w:left="560" w:hanging="560"/>
      </w:pPr>
      <w:r>
        <w:rPr>
          <w:rFonts w:ascii="EB Garamond" w:cs="EB Garamond" w:eastAsia="EB Garamond" w:hAnsi="EB Garamond"/>
          <w:color w:val="1F1B16"/>
          <w:sz w:val="20"/>
          <w:szCs w:val="20"/>
        </w:rPr>
        <w:t xml:space="preserve">[7]	</w:t>
      </w:r>
      <w:r>
        <w:rPr>
          <w:rFonts w:ascii="EB Garamond" w:cs="EB Garamond" w:eastAsia="EB Garamond" w:hAnsi="EB Garamond"/>
          <w:i w:val="false"/>
          <w:iCs w:val="false"/>
          <w:color w:val="1F1B16"/>
          <w:sz w:val="20"/>
          <w:szCs w:val="20"/>
        </w:rPr>
        <w:t xml:space="preserve">Bechara, A., Damasio, H., Tranel, D., &amp; Damasio, A. R. (1997). Deciding advantageously before knowing the advantageous strategy. </w:t>
      </w:r>
      <w:r>
        <w:rPr>
          <w:rFonts w:ascii="EB Garamond" w:cs="EB Garamond" w:eastAsia="EB Garamond" w:hAnsi="EB Garamond"/>
          <w:i/>
          <w:iCs/>
          <w:color w:val="1F1B16"/>
          <w:sz w:val="20"/>
          <w:szCs w:val="20"/>
        </w:rPr>
        <w:t xml:space="preserve">Science</w:t>
      </w:r>
      <w:r>
        <w:rPr>
          <w:rFonts w:ascii="EB Garamond" w:cs="EB Garamond" w:eastAsia="EB Garamond" w:hAnsi="EB Garamond"/>
          <w:i w:val="false"/>
          <w:iCs w:val="false"/>
          <w:color w:val="1F1B16"/>
          <w:sz w:val="20"/>
          <w:szCs w:val="20"/>
        </w:rPr>
        <w:t xml:space="preserve">, 275(5304), 1293–1295.</w:t>
      </w:r>
    </w:p>
    <w:p>
      <w:pPr>
        <w:spacing w:after="80"/>
        <w:ind w:left="560" w:hanging="560"/>
      </w:pPr>
      <w:r>
        <w:rPr>
          <w:rFonts w:ascii="EB Garamond" w:cs="EB Garamond" w:eastAsia="EB Garamond" w:hAnsi="EB Garamond"/>
          <w:color w:val="1F1B16"/>
          <w:sz w:val="20"/>
          <w:szCs w:val="20"/>
        </w:rPr>
        <w:t xml:space="preserve">[8]	</w:t>
      </w:r>
      <w:r>
        <w:rPr>
          <w:rFonts w:ascii="EB Garamond" w:cs="EB Garamond" w:eastAsia="EB Garamond" w:hAnsi="EB Garamond"/>
          <w:i w:val="false"/>
          <w:iCs w:val="false"/>
          <w:color w:val="1F1B16"/>
          <w:sz w:val="20"/>
          <w:szCs w:val="20"/>
        </w:rPr>
        <w:t xml:space="preserve">Navon, D. (1977). Forest before trees: The precedence of global features in visual perception. </w:t>
      </w:r>
      <w:r>
        <w:rPr>
          <w:rFonts w:ascii="EB Garamond" w:cs="EB Garamond" w:eastAsia="EB Garamond" w:hAnsi="EB Garamond"/>
          <w:i/>
          <w:iCs/>
          <w:color w:val="1F1B16"/>
          <w:sz w:val="20"/>
          <w:szCs w:val="20"/>
        </w:rPr>
        <w:t xml:space="preserve">Cognitive Psychology</w:t>
      </w:r>
      <w:r>
        <w:rPr>
          <w:rFonts w:ascii="EB Garamond" w:cs="EB Garamond" w:eastAsia="EB Garamond" w:hAnsi="EB Garamond"/>
          <w:i w:val="false"/>
          <w:iCs w:val="false"/>
          <w:color w:val="1F1B16"/>
          <w:sz w:val="20"/>
          <w:szCs w:val="20"/>
        </w:rPr>
        <w:t xml:space="preserve">, 9(3), 353–383.</w:t>
      </w:r>
    </w:p>
    <w:p>
      <w:pPr>
        <w:spacing w:after="80"/>
        <w:ind w:left="560" w:hanging="560"/>
      </w:pPr>
      <w:r>
        <w:rPr>
          <w:rFonts w:ascii="EB Garamond" w:cs="EB Garamond" w:eastAsia="EB Garamond" w:hAnsi="EB Garamond"/>
          <w:color w:val="1F1B16"/>
          <w:sz w:val="20"/>
          <w:szCs w:val="20"/>
        </w:rPr>
        <w:t xml:space="preserve">[9]	</w:t>
      </w:r>
      <w:r>
        <w:rPr>
          <w:rFonts w:ascii="EB Garamond" w:cs="EB Garamond" w:eastAsia="EB Garamond" w:hAnsi="EB Garamond"/>
          <w:i w:val="false"/>
          <w:iCs w:val="false"/>
          <w:color w:val="1F1B16"/>
          <w:sz w:val="20"/>
          <w:szCs w:val="20"/>
        </w:rPr>
        <w:t xml:space="preserve">Zatorre, R. J., Belin, P., &amp; Penhune, V. B. (2002). Structure and function of auditory cortex: Music and speech. </w:t>
      </w:r>
      <w:r>
        <w:rPr>
          <w:rFonts w:ascii="EB Garamond" w:cs="EB Garamond" w:eastAsia="EB Garamond" w:hAnsi="EB Garamond"/>
          <w:i/>
          <w:iCs/>
          <w:color w:val="1F1B16"/>
          <w:sz w:val="20"/>
          <w:szCs w:val="20"/>
        </w:rPr>
        <w:t xml:space="preserve">Trends in Cognitive Sciences</w:t>
      </w:r>
      <w:r>
        <w:rPr>
          <w:rFonts w:ascii="EB Garamond" w:cs="EB Garamond" w:eastAsia="EB Garamond" w:hAnsi="EB Garamond"/>
          <w:i w:val="false"/>
          <w:iCs w:val="false"/>
          <w:color w:val="1F1B16"/>
          <w:sz w:val="20"/>
          <w:szCs w:val="20"/>
        </w:rPr>
        <w:t xml:space="preserve">, 6(1), 37–46.</w:t>
      </w:r>
    </w:p>
    <w:p>
      <w:pPr>
        <w:spacing w:after="80"/>
        <w:ind w:left="560" w:hanging="560"/>
      </w:pPr>
      <w:r>
        <w:rPr>
          <w:rFonts w:ascii="EB Garamond" w:cs="EB Garamond" w:eastAsia="EB Garamond" w:hAnsi="EB Garamond"/>
          <w:color w:val="1F1B16"/>
          <w:sz w:val="20"/>
          <w:szCs w:val="20"/>
        </w:rPr>
        <w:t xml:space="preserve">[10]	</w:t>
      </w:r>
      <w:r>
        <w:rPr>
          <w:rFonts w:ascii="EB Garamond" w:cs="EB Garamond" w:eastAsia="EB Garamond" w:hAnsi="EB Garamond"/>
          <w:i w:val="false"/>
          <w:iCs w:val="false"/>
          <w:color w:val="1F1B16"/>
          <w:sz w:val="20"/>
          <w:szCs w:val="20"/>
        </w:rPr>
        <w:t xml:space="preserve">Craig, A. D. (2002). How do you feel? Interoception: the sense of the physiological condition of the body. </w:t>
      </w:r>
      <w:r>
        <w:rPr>
          <w:rFonts w:ascii="EB Garamond" w:cs="EB Garamond" w:eastAsia="EB Garamond" w:hAnsi="EB Garamond"/>
          <w:i/>
          <w:iCs/>
          <w:color w:val="1F1B16"/>
          <w:sz w:val="20"/>
          <w:szCs w:val="20"/>
        </w:rPr>
        <w:t xml:space="preserve">Nature Reviews Neuroscience</w:t>
      </w:r>
      <w:r>
        <w:rPr>
          <w:rFonts w:ascii="EB Garamond" w:cs="EB Garamond" w:eastAsia="EB Garamond" w:hAnsi="EB Garamond"/>
          <w:i w:val="false"/>
          <w:iCs w:val="false"/>
          <w:color w:val="1F1B16"/>
          <w:sz w:val="20"/>
          <w:szCs w:val="20"/>
        </w:rPr>
        <w:t xml:space="preserve">, 3(8), 655–666.</w:t>
      </w:r>
    </w:p>
    <w:p>
      <w:pPr>
        <w:spacing w:after="80"/>
        <w:ind w:left="560" w:hanging="560"/>
      </w:pPr>
      <w:r>
        <w:rPr>
          <w:rFonts w:ascii="EB Garamond" w:cs="EB Garamond" w:eastAsia="EB Garamond" w:hAnsi="EB Garamond"/>
          <w:color w:val="1F1B16"/>
          <w:sz w:val="20"/>
          <w:szCs w:val="20"/>
        </w:rPr>
        <w:t xml:space="preserve">[11]	</w:t>
      </w:r>
      <w:r>
        <w:rPr>
          <w:rFonts w:ascii="EB Garamond" w:cs="EB Garamond" w:eastAsia="EB Garamond" w:hAnsi="EB Garamond"/>
          <w:i w:val="false"/>
          <w:iCs w:val="false"/>
          <w:color w:val="1F1B16"/>
          <w:sz w:val="20"/>
          <w:szCs w:val="20"/>
        </w:rPr>
        <w:t xml:space="preserve">Whalen, P. J., Rauch, S. L., Etcoff, N. L., McInerney, S. C., Lee, M. B., &amp; Jenike, M. A. (1998). Masked presentations of emotional facial expressions modulate amygdala activity without explicit knowledge. </w:t>
      </w:r>
      <w:r>
        <w:rPr>
          <w:rFonts w:ascii="EB Garamond" w:cs="EB Garamond" w:eastAsia="EB Garamond" w:hAnsi="EB Garamond"/>
          <w:i/>
          <w:iCs/>
          <w:color w:val="1F1B16"/>
          <w:sz w:val="20"/>
          <w:szCs w:val="20"/>
        </w:rPr>
        <w:t xml:space="preserve">Journal of Neuroscience</w:t>
      </w:r>
      <w:r>
        <w:rPr>
          <w:rFonts w:ascii="EB Garamond" w:cs="EB Garamond" w:eastAsia="EB Garamond" w:hAnsi="EB Garamond"/>
          <w:i w:val="false"/>
          <w:iCs w:val="false"/>
          <w:color w:val="1F1B16"/>
          <w:sz w:val="20"/>
          <w:szCs w:val="20"/>
        </w:rPr>
        <w:t xml:space="preserve">, 18(1), 411–418.</w:t>
      </w:r>
    </w:p>
    <w:p>
      <w:pPr>
        <w:spacing w:after="80"/>
        <w:ind w:left="560" w:hanging="560"/>
      </w:pPr>
      <w:r>
        <w:rPr>
          <w:rFonts w:ascii="EB Garamond" w:cs="EB Garamond" w:eastAsia="EB Garamond" w:hAnsi="EB Garamond"/>
          <w:color w:val="1F1B16"/>
          <w:sz w:val="20"/>
          <w:szCs w:val="20"/>
        </w:rPr>
        <w:t xml:space="preserve">[12]	</w:t>
      </w:r>
      <w:r>
        <w:rPr>
          <w:rFonts w:ascii="EB Garamond" w:cs="EB Garamond" w:eastAsia="EB Garamond" w:hAnsi="EB Garamond"/>
          <w:i w:val="false"/>
          <w:iCs w:val="false"/>
          <w:color w:val="1F1B16"/>
          <w:sz w:val="20"/>
          <w:szCs w:val="20"/>
        </w:rPr>
        <w:t xml:space="preserve">Pessoa, L., &amp; Adolphs, R. (2010). Emotion processing and the amygdala: from a 'low road' to 'many roads' of evaluating biological significance. </w:t>
      </w:r>
      <w:r>
        <w:rPr>
          <w:rFonts w:ascii="EB Garamond" w:cs="EB Garamond" w:eastAsia="EB Garamond" w:hAnsi="EB Garamond"/>
          <w:i/>
          <w:iCs/>
          <w:color w:val="1F1B16"/>
          <w:sz w:val="20"/>
          <w:szCs w:val="20"/>
        </w:rPr>
        <w:t xml:space="preserve">Nature Reviews Neuroscience</w:t>
      </w:r>
      <w:r>
        <w:rPr>
          <w:rFonts w:ascii="EB Garamond" w:cs="EB Garamond" w:eastAsia="EB Garamond" w:hAnsi="EB Garamond"/>
          <w:i w:val="false"/>
          <w:iCs w:val="false"/>
          <w:color w:val="1F1B16"/>
          <w:sz w:val="20"/>
          <w:szCs w:val="20"/>
        </w:rPr>
        <w:t xml:space="preserve">, 11(11), 773–782.</w:t>
      </w:r>
    </w:p>
    <w:p>
      <w:pPr>
        <w:spacing w:after="80"/>
        <w:ind w:left="560" w:hanging="560"/>
      </w:pPr>
      <w:r>
        <w:rPr>
          <w:rFonts w:ascii="EB Garamond" w:cs="EB Garamond" w:eastAsia="EB Garamond" w:hAnsi="EB Garamond"/>
          <w:color w:val="1F1B16"/>
          <w:sz w:val="20"/>
          <w:szCs w:val="20"/>
        </w:rPr>
        <w:t xml:space="preserve">[13]	</w:t>
      </w:r>
      <w:r>
        <w:rPr>
          <w:rFonts w:ascii="EB Garamond" w:cs="EB Garamond" w:eastAsia="EB Garamond" w:hAnsi="EB Garamond"/>
          <w:i w:val="false"/>
          <w:iCs w:val="false"/>
          <w:color w:val="1F1B16"/>
          <w:sz w:val="20"/>
          <w:szCs w:val="20"/>
        </w:rPr>
        <w:t xml:space="preserve">Zheng, J., &amp; Meister, M. (2024). The unbearable slowness of being: Why do we live at 10 bits/s? </w:t>
      </w:r>
      <w:r>
        <w:rPr>
          <w:rFonts w:ascii="EB Garamond" w:cs="EB Garamond" w:eastAsia="EB Garamond" w:hAnsi="EB Garamond"/>
          <w:i/>
          <w:iCs/>
          <w:color w:val="1F1B16"/>
          <w:sz w:val="20"/>
          <w:szCs w:val="20"/>
        </w:rPr>
        <w:t xml:space="preserve">Neuron</w:t>
      </w:r>
      <w:r>
        <w:rPr>
          <w:rFonts w:ascii="EB Garamond" w:cs="EB Garamond" w:eastAsia="EB Garamond" w:hAnsi="EB Garamond"/>
          <w:i w:val="false"/>
          <w:iCs w:val="false"/>
          <w:color w:val="1F1B16"/>
          <w:sz w:val="20"/>
          <w:szCs w:val="20"/>
        </w:rPr>
        <w:t xml:space="preserve">, 113(2), 192–204. doi:10.1016/j.neuron.2024.11.008</w:t>
      </w:r>
    </w:p>
    <w:p>
      <w:pPr>
        <w:spacing w:after="80"/>
        <w:ind w:left="560" w:hanging="560"/>
      </w:pPr>
      <w:r>
        <w:rPr>
          <w:rFonts w:ascii="EB Garamond" w:cs="EB Garamond" w:eastAsia="EB Garamond" w:hAnsi="EB Garamond"/>
          <w:color w:val="1F1B16"/>
          <w:sz w:val="20"/>
          <w:szCs w:val="20"/>
        </w:rPr>
        <w:t xml:space="preserve">[14]	</w:t>
      </w:r>
      <w:r>
        <w:rPr>
          <w:rFonts w:ascii="EB Garamond" w:cs="EB Garamond" w:eastAsia="EB Garamond" w:hAnsi="EB Garamond"/>
          <w:i w:val="false"/>
          <w:iCs w:val="false"/>
          <w:color w:val="1F1B16"/>
          <w:sz w:val="20"/>
          <w:szCs w:val="20"/>
        </w:rPr>
        <w:t xml:space="preserve">Attwell, D., &amp; Laughlin, S. B. (2001). An energy budget for signaling in the grey matter of the brain. </w:t>
      </w:r>
      <w:r>
        <w:rPr>
          <w:rFonts w:ascii="EB Garamond" w:cs="EB Garamond" w:eastAsia="EB Garamond" w:hAnsi="EB Garamond"/>
          <w:i/>
          <w:iCs/>
          <w:color w:val="1F1B16"/>
          <w:sz w:val="20"/>
          <w:szCs w:val="20"/>
        </w:rPr>
        <w:t xml:space="preserve">Journal of Cerebral Blood Flow &amp; Metabolism</w:t>
      </w:r>
      <w:r>
        <w:rPr>
          <w:rFonts w:ascii="EB Garamond" w:cs="EB Garamond" w:eastAsia="EB Garamond" w:hAnsi="EB Garamond"/>
          <w:i w:val="false"/>
          <w:iCs w:val="false"/>
          <w:color w:val="1F1B16"/>
          <w:sz w:val="20"/>
          <w:szCs w:val="20"/>
        </w:rPr>
        <w:t xml:space="preserve">, 21(10), 1133–1145.</w:t>
      </w:r>
    </w:p>
    <w:p>
      <w:pPr>
        <w:spacing w:after="80"/>
        <w:ind w:left="560" w:hanging="560"/>
      </w:pPr>
      <w:r>
        <w:rPr>
          <w:rFonts w:ascii="EB Garamond" w:cs="EB Garamond" w:eastAsia="EB Garamond" w:hAnsi="EB Garamond"/>
          <w:color w:val="1F1B16"/>
          <w:sz w:val="20"/>
          <w:szCs w:val="20"/>
        </w:rPr>
        <w:t xml:space="preserve">[15]	</w:t>
      </w:r>
      <w:r>
        <w:rPr>
          <w:rFonts w:ascii="EB Garamond" w:cs="EB Garamond" w:eastAsia="EB Garamond" w:hAnsi="EB Garamond"/>
          <w:i w:val="false"/>
          <w:iCs w:val="false"/>
          <w:color w:val="1F1B16"/>
          <w:sz w:val="20"/>
          <w:szCs w:val="20"/>
        </w:rPr>
        <w:t xml:space="preserve">Halberg, F., Cornélissen, G., Katinas, G., et al. (2003). Transdisciplinary unifying implications of circadian findings in the 1950s. </w:t>
      </w:r>
      <w:r>
        <w:rPr>
          <w:rFonts w:ascii="EB Garamond" w:cs="EB Garamond" w:eastAsia="EB Garamond" w:hAnsi="EB Garamond"/>
          <w:i/>
          <w:iCs/>
          <w:color w:val="1F1B16"/>
          <w:sz w:val="20"/>
          <w:szCs w:val="20"/>
        </w:rPr>
        <w:t xml:space="preserve">Journal of Circadian Rhythms</w:t>
      </w:r>
      <w:r>
        <w:rPr>
          <w:rFonts w:ascii="EB Garamond" w:cs="EB Garamond" w:eastAsia="EB Garamond" w:hAnsi="EB Garamond"/>
          <w:i w:val="false"/>
          <w:iCs w:val="false"/>
          <w:color w:val="1F1B16"/>
          <w:sz w:val="20"/>
          <w:szCs w:val="20"/>
        </w:rPr>
        <w:t xml:space="preserve">, 1, 2.</w:t>
      </w:r>
    </w:p>
    <w:p>
      <w:pPr>
        <w:spacing w:after="80"/>
        <w:ind w:left="560" w:hanging="560"/>
      </w:pPr>
      <w:r>
        <w:rPr>
          <w:rFonts w:ascii="EB Garamond" w:cs="EB Garamond" w:eastAsia="EB Garamond" w:hAnsi="EB Garamond"/>
          <w:color w:val="1F1B16"/>
          <w:sz w:val="20"/>
          <w:szCs w:val="20"/>
        </w:rPr>
        <w:t xml:space="preserve">[16]	</w:t>
      </w:r>
      <w:r>
        <w:rPr>
          <w:rFonts w:ascii="EB Garamond" w:cs="EB Garamond" w:eastAsia="EB Garamond" w:hAnsi="EB Garamond"/>
          <w:i w:val="false"/>
          <w:iCs w:val="false"/>
          <w:color w:val="1F1B16"/>
          <w:sz w:val="20"/>
          <w:szCs w:val="20"/>
        </w:rPr>
        <w:t xml:space="preserve">Evans, J. (1998). </w:t>
      </w:r>
      <w:r>
        <w:rPr>
          <w:rFonts w:ascii="EB Garamond" w:cs="EB Garamond" w:eastAsia="EB Garamond" w:hAnsi="EB Garamond"/>
          <w:i/>
          <w:iCs/>
          <w:color w:val="1F1B16"/>
          <w:sz w:val="20"/>
          <w:szCs w:val="20"/>
        </w:rPr>
        <w:t xml:space="preserve">The History and Practice of Ancient Astronomy</w:t>
      </w:r>
      <w:r>
        <w:rPr>
          <w:rFonts w:ascii="EB Garamond" w:cs="EB Garamond" w:eastAsia="EB Garamond" w:hAnsi="EB Garamond"/>
          <w:i w:val="false"/>
          <w:iCs w:val="false"/>
          <w:color w:val="1F1B16"/>
          <w:sz w:val="20"/>
          <w:szCs w:val="20"/>
        </w:rPr>
        <w:t xml:space="preserve">. Oxford University Press.</w:t>
      </w:r>
    </w:p>
    <w:p>
      <w:pPr>
        <w:spacing w:after="80"/>
        <w:ind w:left="560" w:hanging="560"/>
      </w:pPr>
      <w:r>
        <w:rPr>
          <w:rFonts w:ascii="EB Garamond" w:cs="EB Garamond" w:eastAsia="EB Garamond" w:hAnsi="EB Garamond"/>
          <w:color w:val="1F1B16"/>
          <w:sz w:val="20"/>
          <w:szCs w:val="20"/>
        </w:rPr>
        <w:t xml:space="preserve">[17]	</w:t>
      </w:r>
      <w:r>
        <w:rPr>
          <w:rFonts w:ascii="EB Garamond" w:cs="EB Garamond" w:eastAsia="EB Garamond" w:hAnsi="EB Garamond"/>
          <w:i w:val="false"/>
          <w:iCs w:val="false"/>
          <w:color w:val="1F1B16"/>
          <w:sz w:val="20"/>
          <w:szCs w:val="20"/>
        </w:rPr>
        <w:t xml:space="preserve">Sacrobosco, J. de (c. 1230). </w:t>
      </w:r>
      <w:r>
        <w:rPr>
          <w:rFonts w:ascii="EB Garamond" w:cs="EB Garamond" w:eastAsia="EB Garamond" w:hAnsi="EB Garamond"/>
          <w:i/>
          <w:iCs/>
          <w:color w:val="1F1B16"/>
          <w:sz w:val="20"/>
          <w:szCs w:val="20"/>
        </w:rPr>
        <w:t xml:space="preserve">De sphaera mundi</w:t>
      </w:r>
      <w:r>
        <w:rPr>
          <w:rFonts w:ascii="EB Garamond" w:cs="EB Garamond" w:eastAsia="EB Garamond" w:hAnsi="EB Garamond"/>
          <w:i w:val="false"/>
          <w:iCs w:val="false"/>
          <w:color w:val="1F1B16"/>
          <w:sz w:val="20"/>
          <w:szCs w:val="20"/>
        </w:rPr>
        <w:t xml:space="preserve">. In L. Thorndike (Ed. &amp; Trans.), </w:t>
      </w:r>
      <w:r>
        <w:rPr>
          <w:rFonts w:ascii="EB Garamond" w:cs="EB Garamond" w:eastAsia="EB Garamond" w:hAnsi="EB Garamond"/>
          <w:i/>
          <w:iCs/>
          <w:color w:val="1F1B16"/>
          <w:sz w:val="20"/>
          <w:szCs w:val="20"/>
        </w:rPr>
        <w:t xml:space="preserve">The Sphere of Sacrobosco and Its Commentators</w:t>
      </w:r>
      <w:r>
        <w:rPr>
          <w:rFonts w:ascii="EB Garamond" w:cs="EB Garamond" w:eastAsia="EB Garamond" w:hAnsi="EB Garamond"/>
          <w:i w:val="false"/>
          <w:iCs w:val="false"/>
          <w:color w:val="1F1B16"/>
          <w:sz w:val="20"/>
          <w:szCs w:val="20"/>
        </w:rPr>
        <w:t xml:space="preserve"> (1949). University of Chicago Press.</w:t>
      </w:r>
    </w:p>
    <w:p>
      <w:pPr>
        <w:spacing w:after="80"/>
        <w:ind w:left="560" w:hanging="560"/>
      </w:pPr>
      <w:r>
        <w:rPr>
          <w:rFonts w:ascii="EB Garamond" w:cs="EB Garamond" w:eastAsia="EB Garamond" w:hAnsi="EB Garamond"/>
          <w:color w:val="1F1B16"/>
          <w:sz w:val="20"/>
          <w:szCs w:val="20"/>
        </w:rPr>
        <w:t xml:space="preserve">[18]	</w:t>
      </w:r>
      <w:r>
        <w:rPr>
          <w:rFonts w:ascii="EB Garamond" w:cs="EB Garamond" w:eastAsia="EB Garamond" w:hAnsi="EB Garamond"/>
          <w:i w:val="false"/>
          <w:iCs w:val="false"/>
          <w:color w:val="1F1B16"/>
          <w:sz w:val="20"/>
          <w:szCs w:val="20"/>
        </w:rPr>
        <w:t xml:space="preserve">Ptolemy. </w:t>
      </w:r>
      <w:r>
        <w:rPr>
          <w:rFonts w:ascii="EB Garamond" w:cs="EB Garamond" w:eastAsia="EB Garamond" w:hAnsi="EB Garamond"/>
          <w:i/>
          <w:iCs/>
          <w:color w:val="1F1B16"/>
          <w:sz w:val="20"/>
          <w:szCs w:val="20"/>
        </w:rPr>
        <w:t xml:space="preserve">Tetrabiblos</w:t>
      </w:r>
      <w:r>
        <w:rPr>
          <w:rFonts w:ascii="EB Garamond" w:cs="EB Garamond" w:eastAsia="EB Garamond" w:hAnsi="EB Garamond"/>
          <w:i w:val="false"/>
          <w:iCs w:val="false"/>
          <w:color w:val="1F1B16"/>
          <w:sz w:val="20"/>
          <w:szCs w:val="20"/>
        </w:rPr>
        <w:t xml:space="preserve"> (F. E. Robbins, Trans., 1940). Loeb Classical Library, Harvard University Press.</w:t>
      </w:r>
    </w:p>
    <w:p>
      <w:pPr>
        <w:spacing w:after="80"/>
        <w:ind w:left="560" w:hanging="560"/>
      </w:pPr>
      <w:r>
        <w:rPr>
          <w:rFonts w:ascii="EB Garamond" w:cs="EB Garamond" w:eastAsia="EB Garamond" w:hAnsi="EB Garamond"/>
          <w:color w:val="1F1B16"/>
          <w:sz w:val="20"/>
          <w:szCs w:val="20"/>
        </w:rPr>
        <w:t xml:space="preserve">[19]	</w:t>
      </w:r>
      <w:r>
        <w:rPr>
          <w:rFonts w:ascii="EB Garamond" w:cs="EB Garamond" w:eastAsia="EB Garamond" w:hAnsi="EB Garamond"/>
          <w:i w:val="false"/>
          <w:iCs w:val="false"/>
          <w:color w:val="1F1B16"/>
          <w:sz w:val="20"/>
          <w:szCs w:val="20"/>
        </w:rPr>
        <w:t xml:space="preserve">Lilly, W. (1647). </w:t>
      </w:r>
      <w:r>
        <w:rPr>
          <w:rFonts w:ascii="EB Garamond" w:cs="EB Garamond" w:eastAsia="EB Garamond" w:hAnsi="EB Garamond"/>
          <w:i/>
          <w:iCs/>
          <w:color w:val="1F1B16"/>
          <w:sz w:val="20"/>
          <w:szCs w:val="20"/>
        </w:rPr>
        <w:t xml:space="preserve">Christian Astrology</w:t>
      </w:r>
      <w:r>
        <w:rPr>
          <w:rFonts w:ascii="EB Garamond" w:cs="EB Garamond" w:eastAsia="EB Garamond" w:hAnsi="EB Garamond"/>
          <w:i w:val="false"/>
          <w:iCs w:val="false"/>
          <w:color w:val="1F1B16"/>
          <w:sz w:val="20"/>
          <w:szCs w:val="20"/>
        </w:rPr>
        <w:t xml:space="preserve">. London. (Facsimile: Regulus, 1985; Astrology Classics, 2004.)</w:t>
      </w:r>
    </w:p>
    <w:p>
      <w:pPr>
        <w:spacing w:after="80"/>
        <w:ind w:left="560" w:hanging="560"/>
      </w:pPr>
      <w:r>
        <w:rPr>
          <w:rFonts w:ascii="EB Garamond" w:cs="EB Garamond" w:eastAsia="EB Garamond" w:hAnsi="EB Garamond"/>
          <w:color w:val="1F1B16"/>
          <w:sz w:val="20"/>
          <w:szCs w:val="20"/>
        </w:rPr>
        <w:t xml:space="preserve">[20]	</w:t>
      </w:r>
      <w:r>
        <w:rPr>
          <w:rFonts w:ascii="EB Garamond" w:cs="EB Garamond" w:eastAsia="EB Garamond" w:hAnsi="EB Garamond"/>
          <w:i w:val="false"/>
          <w:iCs w:val="false"/>
          <w:color w:val="1F1B16"/>
          <w:sz w:val="20"/>
          <w:szCs w:val="20"/>
        </w:rPr>
        <w:t xml:space="preserve">Owen, N. </w:t>
      </w:r>
      <w:r>
        <w:rPr>
          <w:rFonts w:ascii="EB Garamond" w:cs="EB Garamond" w:eastAsia="EB Garamond" w:hAnsi="EB Garamond"/>
          <w:i/>
          <w:iCs/>
          <w:color w:val="1F1B16"/>
          <w:sz w:val="20"/>
          <w:szCs w:val="20"/>
        </w:rPr>
        <w:t xml:space="preserve">Fore Street on a busy afternoon</w:t>
      </w:r>
      <w:r>
        <w:rPr>
          <w:rFonts w:ascii="EB Garamond" w:cs="EB Garamond" w:eastAsia="EB Garamond" w:hAnsi="EB Garamond"/>
          <w:i w:val="false"/>
          <w:iCs w:val="false"/>
          <w:color w:val="1F1B16"/>
          <w:sz w:val="20"/>
          <w:szCs w:val="20"/>
        </w:rPr>
        <w:t xml:space="preserve"> [photograph]. Wikimedia Commons, curid=59868957. CC BY-SA 2.0.</w:t>
      </w:r>
    </w:p>
    <w:p>
      <w:pPr>
        <w:spacing w:after="80"/>
        <w:ind w:left="560" w:hanging="560"/>
      </w:pPr>
      <w:r>
        <w:rPr>
          <w:rFonts w:ascii="EB Garamond" w:cs="EB Garamond" w:eastAsia="EB Garamond" w:hAnsi="EB Garamond"/>
          <w:color w:val="1F1B16"/>
          <w:sz w:val="20"/>
          <w:szCs w:val="20"/>
        </w:rPr>
        <w:t xml:space="preserve">[21]	</w:t>
      </w:r>
      <w:r>
        <w:rPr>
          <w:rFonts w:ascii="EB Garamond" w:cs="EB Garamond" w:eastAsia="EB Garamond" w:hAnsi="EB Garamond"/>
          <w:i w:val="false"/>
          <w:iCs w:val="false"/>
          <w:color w:val="1F1B16"/>
          <w:sz w:val="20"/>
          <w:szCs w:val="20"/>
        </w:rPr>
        <w:t xml:space="preserve">Keppler, U. J. (c. 1900s). </w:t>
      </w:r>
      <w:r>
        <w:rPr>
          <w:rFonts w:ascii="EB Garamond" w:cs="EB Garamond" w:eastAsia="EB Garamond" w:hAnsi="EB Garamond"/>
          <w:i/>
          <w:iCs/>
          <w:color w:val="1F1B16"/>
          <w:sz w:val="20"/>
          <w:szCs w:val="20"/>
        </w:rPr>
        <w:t xml:space="preserve">The Hawk</w:t>
      </w:r>
      <w:r>
        <w:rPr>
          <w:rFonts w:ascii="EB Garamond" w:cs="EB Garamond" w:eastAsia="EB Garamond" w:hAnsi="EB Garamond"/>
          <w:i w:val="false"/>
          <w:iCs w:val="false"/>
          <w:color w:val="1F1B16"/>
          <w:sz w:val="20"/>
          <w:szCs w:val="20"/>
        </w:rPr>
        <w:t xml:space="preserve"> [chromolithograph, </w:t>
      </w:r>
      <w:r>
        <w:rPr>
          <w:rFonts w:ascii="EB Garamond" w:cs="EB Garamond" w:eastAsia="EB Garamond" w:hAnsi="EB Garamond"/>
          <w:i/>
          <w:iCs/>
          <w:color w:val="1F1B16"/>
          <w:sz w:val="20"/>
          <w:szCs w:val="20"/>
        </w:rPr>
        <w:t xml:space="preserve">Puck</w:t>
      </w:r>
      <w:r>
        <w:rPr>
          <w:rFonts w:ascii="EB Garamond" w:cs="EB Garamond" w:eastAsia="EB Garamond" w:hAnsi="EB Garamond"/>
          <w:i w:val="false"/>
          <w:iCs w:val="false"/>
          <w:color w:val="1F1B16"/>
          <w:sz w:val="20"/>
          <w:szCs w:val="20"/>
        </w:rPr>
        <w:t xml:space="preserve">]. Library of Congress Prints and Photographs Division.</w:t>
      </w:r>
    </w:p>
    <w:p>
      <w:pPr>
        <w:spacing w:after="80"/>
        <w:ind w:left="560" w:hanging="560"/>
      </w:pPr>
      <w:r>
        <w:rPr>
          <w:rFonts w:ascii="EB Garamond" w:cs="EB Garamond" w:eastAsia="EB Garamond" w:hAnsi="EB Garamond"/>
          <w:color w:val="1F1B16"/>
          <w:sz w:val="20"/>
          <w:szCs w:val="20"/>
        </w:rPr>
        <w:t xml:space="preserve">[22]	</w:t>
      </w:r>
      <w:r>
        <w:rPr>
          <w:rFonts w:ascii="EB Garamond" w:cs="EB Garamond" w:eastAsia="EB Garamond" w:hAnsi="EB Garamond"/>
          <w:i w:val="false"/>
          <w:iCs w:val="false"/>
          <w:color w:val="1F1B16"/>
          <w:sz w:val="20"/>
          <w:szCs w:val="20"/>
        </w:rPr>
        <w:t xml:space="preserve">Rogers, L. J., Vallortigara, G., &amp; Andrew, R. J. (2013). </w:t>
      </w:r>
      <w:r>
        <w:rPr>
          <w:rFonts w:ascii="EB Garamond" w:cs="EB Garamond" w:eastAsia="EB Garamond" w:hAnsi="EB Garamond"/>
          <w:i/>
          <w:iCs/>
          <w:color w:val="1F1B16"/>
          <w:sz w:val="20"/>
          <w:szCs w:val="20"/>
        </w:rPr>
        <w:t xml:space="preserve">Divided Brains: The Biology and Behaviour of Brain Asymmetries</w:t>
      </w:r>
      <w:r>
        <w:rPr>
          <w:rFonts w:ascii="EB Garamond" w:cs="EB Garamond" w:eastAsia="EB Garamond" w:hAnsi="EB Garamond"/>
          <w:i w:val="false"/>
          <w:iCs w:val="false"/>
          <w:color w:val="1F1B16"/>
          <w:sz w:val="20"/>
          <w:szCs w:val="20"/>
        </w:rPr>
        <w:t xml:space="preserve">. Cambridge University Press.</w:t>
      </w:r>
    </w:p>
    <w:p>
      <w:pPr>
        <w:spacing w:after="80"/>
        <w:ind w:left="560" w:hanging="560"/>
      </w:pPr>
      <w:r>
        <w:rPr>
          <w:rFonts w:ascii="EB Garamond" w:cs="EB Garamond" w:eastAsia="EB Garamond" w:hAnsi="EB Garamond"/>
          <w:color w:val="1F1B16"/>
          <w:sz w:val="20"/>
          <w:szCs w:val="20"/>
        </w:rPr>
        <w:t xml:space="preserve">[23]	</w:t>
      </w:r>
      <w:r>
        <w:rPr>
          <w:rFonts w:ascii="EB Garamond" w:cs="EB Garamond" w:eastAsia="EB Garamond" w:hAnsi="EB Garamond"/>
          <w:i w:val="false"/>
          <w:iCs w:val="false"/>
          <w:color w:val="1F1B16"/>
          <w:sz w:val="20"/>
          <w:szCs w:val="20"/>
        </w:rPr>
        <w:t xml:space="preserve">Vallortigara, G., &amp; Rogers, L. J. (2005). Survival with an asymmetrical brain: Advantages and disadvantages of cerebral lateralization. </w:t>
      </w:r>
      <w:r>
        <w:rPr>
          <w:rFonts w:ascii="EB Garamond" w:cs="EB Garamond" w:eastAsia="EB Garamond" w:hAnsi="EB Garamond"/>
          <w:i/>
          <w:iCs/>
          <w:color w:val="1F1B16"/>
          <w:sz w:val="20"/>
          <w:szCs w:val="20"/>
        </w:rPr>
        <w:t xml:space="preserve">Behavioral and Brain Sciences</w:t>
      </w:r>
      <w:r>
        <w:rPr>
          <w:rFonts w:ascii="EB Garamond" w:cs="EB Garamond" w:eastAsia="EB Garamond" w:hAnsi="EB Garamond"/>
          <w:i w:val="false"/>
          <w:iCs w:val="false"/>
          <w:color w:val="1F1B16"/>
          <w:sz w:val="20"/>
          <w:szCs w:val="20"/>
        </w:rPr>
        <w:t xml:space="preserve">, 28(4), 575–589.</w:t>
      </w:r>
    </w:p>
    <w:p>
      <w:pPr>
        <w:spacing w:after="80"/>
        <w:ind w:left="560" w:hanging="560"/>
      </w:pPr>
      <w:r>
        <w:rPr>
          <w:rFonts w:ascii="EB Garamond" w:cs="EB Garamond" w:eastAsia="EB Garamond" w:hAnsi="EB Garamond"/>
          <w:color w:val="1F1B16"/>
          <w:sz w:val="20"/>
          <w:szCs w:val="20"/>
        </w:rPr>
        <w:t xml:space="preserve">[24]	</w:t>
      </w:r>
      <w:r>
        <w:rPr>
          <w:rFonts w:ascii="EB Garamond" w:cs="EB Garamond" w:eastAsia="EB Garamond" w:hAnsi="EB Garamond"/>
          <w:i w:val="false"/>
          <w:iCs w:val="false"/>
          <w:color w:val="1F1B16"/>
          <w:sz w:val="20"/>
          <w:szCs w:val="20"/>
        </w:rPr>
        <w:t xml:space="preserve">Vikne, E. </w:t>
      </w:r>
      <w:r>
        <w:rPr>
          <w:rFonts w:ascii="EB Garamond" w:cs="EB Garamond" w:eastAsia="EB Garamond" w:hAnsi="EB Garamond"/>
          <w:i/>
          <w:iCs/>
          <w:color w:val="1F1B16"/>
          <w:sz w:val="20"/>
          <w:szCs w:val="20"/>
        </w:rPr>
        <w:t xml:space="preserve">Black cow portrait</w:t>
      </w:r>
      <w:r>
        <w:rPr>
          <w:rFonts w:ascii="EB Garamond" w:cs="EB Garamond" w:eastAsia="EB Garamond" w:hAnsi="EB Garamond"/>
          <w:i w:val="false"/>
          <w:iCs w:val="false"/>
          <w:color w:val="1F1B16"/>
          <w:sz w:val="20"/>
          <w:szCs w:val="20"/>
        </w:rPr>
        <w:t xml:space="preserve"> [photograph]. Flickr / Wikimedia Commons, curid=17984509. CC BY-SA 2.0.</w:t>
      </w:r>
    </w:p>
    <w:p>
      <w:pPr>
        <w:spacing w:after="80"/>
        <w:ind w:left="560" w:hanging="560"/>
      </w:pPr>
      <w:r>
        <w:rPr>
          <w:rFonts w:ascii="EB Garamond" w:cs="EB Garamond" w:eastAsia="EB Garamond" w:hAnsi="EB Garamond"/>
          <w:color w:val="1F1B16"/>
          <w:sz w:val="20"/>
          <w:szCs w:val="20"/>
        </w:rPr>
        <w:t xml:space="preserve">[25]	</w:t>
      </w:r>
      <w:r>
        <w:rPr>
          <w:rFonts w:ascii="EB Garamond" w:cs="EB Garamond" w:eastAsia="EB Garamond" w:hAnsi="EB Garamond"/>
          <w:i w:val="false"/>
          <w:iCs w:val="false"/>
          <w:color w:val="1F1B16"/>
          <w:sz w:val="20"/>
          <w:szCs w:val="20"/>
        </w:rPr>
        <w:t xml:space="preserve">Laurent, G. </w:t>
      </w:r>
      <w:r>
        <w:rPr>
          <w:rFonts w:ascii="EB Garamond" w:cs="EB Garamond" w:eastAsia="EB Garamond" w:hAnsi="EB Garamond"/>
          <w:i/>
          <w:iCs/>
          <w:color w:val="1F1B16"/>
          <w:sz w:val="20"/>
          <w:szCs w:val="20"/>
        </w:rPr>
        <w:t xml:space="preserve">The lion king Tryggve in the Serengeti National Park</w:t>
      </w:r>
      <w:r>
        <w:rPr>
          <w:rFonts w:ascii="EB Garamond" w:cs="EB Garamond" w:eastAsia="EB Garamond" w:hAnsi="EB Garamond"/>
          <w:i w:val="false"/>
          <w:iCs w:val="false"/>
          <w:color w:val="1F1B16"/>
          <w:sz w:val="20"/>
          <w:szCs w:val="20"/>
        </w:rPr>
        <w:t xml:space="preserve"> [photograph]. Wikimedia Commons, curid=121188762. CC BY-SA 4.0.</w:t>
      </w:r>
    </w:p>
    <w:p>
      <w:pPr>
        <w:spacing w:after="80"/>
        <w:ind w:left="560" w:hanging="560"/>
      </w:pPr>
      <w:r>
        <w:rPr>
          <w:rFonts w:ascii="EB Garamond" w:cs="EB Garamond" w:eastAsia="EB Garamond" w:hAnsi="EB Garamond"/>
          <w:color w:val="1F1B16"/>
          <w:sz w:val="20"/>
          <w:szCs w:val="20"/>
        </w:rPr>
        <w:t xml:space="preserve">[26]	</w:t>
      </w:r>
      <w:r>
        <w:rPr>
          <w:rFonts w:ascii="EB Garamond" w:cs="EB Garamond" w:eastAsia="EB Garamond" w:hAnsi="EB Garamond"/>
          <w:i w:val="false"/>
          <w:iCs w:val="false"/>
          <w:color w:val="1F1B16"/>
          <w:sz w:val="20"/>
          <w:szCs w:val="20"/>
        </w:rPr>
        <w:t xml:space="preserve">Heesy, C. P. (2008). Ecomorphology of orbit orientation and the adaptive significance of binocular vision in primates and other mammals. </w:t>
      </w:r>
      <w:r>
        <w:rPr>
          <w:rFonts w:ascii="EB Garamond" w:cs="EB Garamond" w:eastAsia="EB Garamond" w:hAnsi="EB Garamond"/>
          <w:i/>
          <w:iCs/>
          <w:color w:val="1F1B16"/>
          <w:sz w:val="20"/>
          <w:szCs w:val="20"/>
        </w:rPr>
        <w:t xml:space="preserve">Brain, Behavior and Evolution</w:t>
      </w:r>
      <w:r>
        <w:rPr>
          <w:rFonts w:ascii="EB Garamond" w:cs="EB Garamond" w:eastAsia="EB Garamond" w:hAnsi="EB Garamond"/>
          <w:i w:val="false"/>
          <w:iCs w:val="false"/>
          <w:color w:val="1F1B16"/>
          <w:sz w:val="20"/>
          <w:szCs w:val="20"/>
        </w:rPr>
        <w:t xml:space="preserve">, 71(1), 54–67.</w:t>
      </w:r>
    </w:p>
    <w:p>
      <w:pPr>
        <w:spacing w:after="80"/>
        <w:ind w:left="560" w:hanging="560"/>
      </w:pPr>
      <w:r>
        <w:rPr>
          <w:rFonts w:ascii="EB Garamond" w:cs="EB Garamond" w:eastAsia="EB Garamond" w:hAnsi="EB Garamond"/>
          <w:color w:val="1F1B16"/>
          <w:sz w:val="20"/>
          <w:szCs w:val="20"/>
        </w:rPr>
        <w:t xml:space="preserve">[27]	</w:t>
      </w:r>
      <w:r>
        <w:rPr>
          <w:rFonts w:ascii="EB Garamond" w:cs="EB Garamond" w:eastAsia="EB Garamond" w:hAnsi="EB Garamond"/>
          <w:i w:val="false"/>
          <w:iCs w:val="false"/>
          <w:color w:val="1F1B16"/>
          <w:sz w:val="20"/>
          <w:szCs w:val="20"/>
        </w:rPr>
        <w:t xml:space="preserve">Split-brain illustration (slide 16, city vs. nature hemispheres). No credit on slide.</w:t>
      </w:r>
    </w:p>
    <w:p>
      <w:pPr>
        <w:spacing w:after="80"/>
        <w:ind w:left="560" w:hanging="560"/>
      </w:pPr>
      <w:r>
        <w:rPr>
          <w:rFonts w:ascii="EB Garamond" w:cs="EB Garamond" w:eastAsia="EB Garamond" w:hAnsi="EB Garamond"/>
          <w:color w:val="1F1B16"/>
          <w:sz w:val="20"/>
          <w:szCs w:val="20"/>
        </w:rPr>
        <w:t xml:space="preserve">[28]	</w:t>
      </w:r>
      <w:r>
        <w:rPr>
          <w:rFonts w:ascii="EB Garamond" w:cs="EB Garamond" w:eastAsia="EB Garamond" w:hAnsi="EB Garamond"/>
          <w:i w:val="false"/>
          <w:iCs w:val="false"/>
          <w:color w:val="1F1B16"/>
          <w:sz w:val="20"/>
          <w:szCs w:val="20"/>
        </w:rPr>
        <w:t xml:space="preserve">Mayor, A. (2018). </w:t>
      </w:r>
      <w:r>
        <w:rPr>
          <w:rFonts w:ascii="EB Garamond" w:cs="EB Garamond" w:eastAsia="EB Garamond" w:hAnsi="EB Garamond"/>
          <w:i/>
          <w:iCs/>
          <w:color w:val="1F1B16"/>
          <w:sz w:val="20"/>
          <w:szCs w:val="20"/>
        </w:rPr>
        <w:t xml:space="preserve">Gods and Robots: Myths, Machines, and Ancient Dreams of Technology</w:t>
      </w:r>
      <w:r>
        <w:rPr>
          <w:rFonts w:ascii="EB Garamond" w:cs="EB Garamond" w:eastAsia="EB Garamond" w:hAnsi="EB Garamond"/>
          <w:i w:val="false"/>
          <w:iCs w:val="false"/>
          <w:color w:val="1F1B16"/>
          <w:sz w:val="20"/>
          <w:szCs w:val="20"/>
        </w:rPr>
        <w:t xml:space="preserve">. Princeton University Press.</w:t>
      </w:r>
    </w:p>
    <w:p>
      <w:pPr>
        <w:spacing w:after="80"/>
        <w:ind w:left="560" w:hanging="560"/>
      </w:pPr>
      <w:r>
        <w:rPr>
          <w:rFonts w:ascii="EB Garamond" w:cs="EB Garamond" w:eastAsia="EB Garamond" w:hAnsi="EB Garamond"/>
          <w:color w:val="1F1B16"/>
          <w:sz w:val="20"/>
          <w:szCs w:val="20"/>
        </w:rPr>
        <w:t xml:space="preserve">[29]	</w:t>
      </w:r>
      <w:r>
        <w:rPr>
          <w:rFonts w:ascii="EB Garamond" w:cs="EB Garamond" w:eastAsia="EB Garamond" w:hAnsi="EB Garamond"/>
          <w:i w:val="false"/>
          <w:iCs w:val="false"/>
          <w:color w:val="1F1B16"/>
          <w:sz w:val="20"/>
          <w:szCs w:val="20"/>
        </w:rPr>
        <w:t xml:space="preserve">Apollonius Rhodius. </w:t>
      </w:r>
      <w:r>
        <w:rPr>
          <w:rFonts w:ascii="EB Garamond" w:cs="EB Garamond" w:eastAsia="EB Garamond" w:hAnsi="EB Garamond"/>
          <w:i/>
          <w:iCs/>
          <w:color w:val="1F1B16"/>
          <w:sz w:val="20"/>
          <w:szCs w:val="20"/>
        </w:rPr>
        <w:t xml:space="preserve">Argonautica</w:t>
      </w:r>
      <w:r>
        <w:rPr>
          <w:rFonts w:ascii="EB Garamond" w:cs="EB Garamond" w:eastAsia="EB Garamond" w:hAnsi="EB Garamond"/>
          <w:i w:val="false"/>
          <w:iCs w:val="false"/>
          <w:color w:val="1F1B16"/>
          <w:sz w:val="20"/>
          <w:szCs w:val="20"/>
        </w:rPr>
        <w:t xml:space="preserve">, IV.1638–1688 (R. Hunter, Trans., 1993). Oxford World's Classics.</w:t>
      </w:r>
    </w:p>
    <w:p>
      <w:pPr>
        <w:spacing w:after="80"/>
        <w:ind w:left="560" w:hanging="560"/>
      </w:pPr>
      <w:r>
        <w:rPr>
          <w:rFonts w:ascii="EB Garamond" w:cs="EB Garamond" w:eastAsia="EB Garamond" w:hAnsi="EB Garamond"/>
          <w:color w:val="1F1B16"/>
          <w:sz w:val="20"/>
          <w:szCs w:val="20"/>
        </w:rPr>
        <w:t xml:space="preserve">[30]	</w:t>
      </w:r>
      <w:r>
        <w:rPr>
          <w:rFonts w:ascii="EB Garamond" w:cs="EB Garamond" w:eastAsia="EB Garamond" w:hAnsi="EB Garamond"/>
          <w:i w:val="false"/>
          <w:iCs w:val="false"/>
          <w:color w:val="1F1B16"/>
          <w:sz w:val="20"/>
          <w:szCs w:val="20"/>
        </w:rPr>
        <w:t xml:space="preserve">Apollodorus. </w:t>
      </w:r>
      <w:r>
        <w:rPr>
          <w:rFonts w:ascii="EB Garamond" w:cs="EB Garamond" w:eastAsia="EB Garamond" w:hAnsi="EB Garamond"/>
          <w:i/>
          <w:iCs/>
          <w:color w:val="1F1B16"/>
          <w:sz w:val="20"/>
          <w:szCs w:val="20"/>
        </w:rPr>
        <w:t xml:space="preserve">Bibliotheca</w:t>
      </w:r>
      <w:r>
        <w:rPr>
          <w:rFonts w:ascii="EB Garamond" w:cs="EB Garamond" w:eastAsia="EB Garamond" w:hAnsi="EB Garamond"/>
          <w:i w:val="false"/>
          <w:iCs w:val="false"/>
          <w:color w:val="1F1B16"/>
          <w:sz w:val="20"/>
          <w:szCs w:val="20"/>
        </w:rPr>
        <w:t xml:space="preserve">, I.9.26 (J. G. Frazer, Trans., 1921). Loeb Classical Library.</w:t>
      </w:r>
    </w:p>
    <w:p>
      <w:pPr>
        <w:spacing w:after="80"/>
        <w:ind w:left="560" w:hanging="560"/>
      </w:pPr>
      <w:r>
        <w:rPr>
          <w:rFonts w:ascii="EB Garamond" w:cs="EB Garamond" w:eastAsia="EB Garamond" w:hAnsi="EB Garamond"/>
          <w:color w:val="1F1B16"/>
          <w:sz w:val="20"/>
          <w:szCs w:val="20"/>
        </w:rPr>
        <w:t xml:space="preserve">[31]	</w:t>
      </w:r>
      <w:r>
        <w:rPr>
          <w:rFonts w:ascii="EB Garamond" w:cs="EB Garamond" w:eastAsia="EB Garamond" w:hAnsi="EB Garamond"/>
          <w:i/>
          <w:iCs/>
          <w:color w:val="1F1B16"/>
          <w:sz w:val="20"/>
          <w:szCs w:val="20"/>
        </w:rPr>
        <w:t xml:space="preserve">Jason and the Argonauts</w:t>
      </w:r>
      <w:r>
        <w:rPr>
          <w:rFonts w:ascii="EB Garamond" w:cs="EB Garamond" w:eastAsia="EB Garamond" w:hAnsi="EB Garamond"/>
          <w:i w:val="false"/>
          <w:iCs w:val="false"/>
          <w:color w:val="1F1B16"/>
          <w:sz w:val="20"/>
          <w:szCs w:val="20"/>
        </w:rPr>
        <w:t xml:space="preserve"> (1963). Columbia Pictures [film still, Talos sequence, Ray Harryhausen]. Via Wikimedia Commons.</w:t>
      </w:r>
    </w:p>
    <w:p>
      <w:pPr>
        <w:spacing w:after="80"/>
        <w:ind w:left="560" w:hanging="560"/>
      </w:pPr>
      <w:r>
        <w:rPr>
          <w:rFonts w:ascii="EB Garamond" w:cs="EB Garamond" w:eastAsia="EB Garamond" w:hAnsi="EB Garamond"/>
          <w:color w:val="1F1B16"/>
          <w:sz w:val="20"/>
          <w:szCs w:val="20"/>
        </w:rPr>
        <w:t xml:space="preserve">[32]	</w:t>
      </w:r>
      <w:r>
        <w:rPr>
          <w:rFonts w:ascii="EB Garamond" w:cs="EB Garamond" w:eastAsia="EB Garamond" w:hAnsi="EB Garamond"/>
          <w:i w:val="false"/>
          <w:iCs w:val="false"/>
          <w:color w:val="1F1B16"/>
          <w:sz w:val="20"/>
          <w:szCs w:val="20"/>
        </w:rPr>
        <w:t xml:space="preserve">Grimm, J. (1808). Entstehung der Verlagspoesie. </w:t>
      </w:r>
      <w:r>
        <w:rPr>
          <w:rFonts w:ascii="EB Garamond" w:cs="EB Garamond" w:eastAsia="EB Garamond" w:hAnsi="EB Garamond"/>
          <w:i/>
          <w:iCs/>
          <w:color w:val="1F1B16"/>
          <w:sz w:val="20"/>
          <w:szCs w:val="20"/>
        </w:rPr>
        <w:t xml:space="preserve">Zeitung für Einsiedler</w:t>
      </w:r>
      <w:r>
        <w:rPr>
          <w:rFonts w:ascii="EB Garamond" w:cs="EB Garamond" w:eastAsia="EB Garamond" w:hAnsi="EB Garamond"/>
          <w:i w:val="false"/>
          <w:iCs w:val="false"/>
          <w:color w:val="1F1B16"/>
          <w:sz w:val="20"/>
          <w:szCs w:val="20"/>
        </w:rPr>
        <w:t xml:space="preserve">, 7. (First printed emet/met golem account.)</w:t>
      </w:r>
    </w:p>
    <w:p>
      <w:pPr>
        <w:spacing w:after="80"/>
        <w:ind w:left="560" w:hanging="560"/>
      </w:pPr>
      <w:r>
        <w:rPr>
          <w:rFonts w:ascii="EB Garamond" w:cs="EB Garamond" w:eastAsia="EB Garamond" w:hAnsi="EB Garamond"/>
          <w:color w:val="1F1B16"/>
          <w:sz w:val="20"/>
          <w:szCs w:val="20"/>
        </w:rPr>
        <w:t xml:space="preserve">[33]	</w:t>
      </w:r>
      <w:r>
        <w:rPr>
          <w:rFonts w:ascii="EB Garamond" w:cs="EB Garamond" w:eastAsia="EB Garamond" w:hAnsi="EB Garamond"/>
          <w:i w:val="false"/>
          <w:iCs w:val="false"/>
          <w:color w:val="1F1B16"/>
          <w:sz w:val="20"/>
          <w:szCs w:val="20"/>
        </w:rPr>
        <w:t xml:space="preserve">Scholem, G. (1965). The idea of the Golem. In </w:t>
      </w:r>
      <w:r>
        <w:rPr>
          <w:rFonts w:ascii="EB Garamond" w:cs="EB Garamond" w:eastAsia="EB Garamond" w:hAnsi="EB Garamond"/>
          <w:i/>
          <w:iCs/>
          <w:color w:val="1F1B16"/>
          <w:sz w:val="20"/>
          <w:szCs w:val="20"/>
        </w:rPr>
        <w:t xml:space="preserve">On the Kabbalah and Its Symbolism</w:t>
      </w:r>
      <w:r>
        <w:rPr>
          <w:rFonts w:ascii="EB Garamond" w:cs="EB Garamond" w:eastAsia="EB Garamond" w:hAnsi="EB Garamond"/>
          <w:i w:val="false"/>
          <w:iCs w:val="false"/>
          <w:color w:val="1F1B16"/>
          <w:sz w:val="20"/>
          <w:szCs w:val="20"/>
        </w:rPr>
        <w:t xml:space="preserve"> (pp. 158–204). Schocken.</w:t>
      </w:r>
    </w:p>
    <w:p>
      <w:pPr>
        <w:spacing w:after="80"/>
        <w:ind w:left="560" w:hanging="560"/>
      </w:pPr>
      <w:r>
        <w:rPr>
          <w:rFonts w:ascii="EB Garamond" w:cs="EB Garamond" w:eastAsia="EB Garamond" w:hAnsi="EB Garamond"/>
          <w:color w:val="1F1B16"/>
          <w:sz w:val="20"/>
          <w:szCs w:val="20"/>
        </w:rPr>
        <w:t xml:space="preserve">[34]	</w:t>
      </w:r>
      <w:r>
        <w:rPr>
          <w:rFonts w:ascii="EB Garamond" w:cs="EB Garamond" w:eastAsia="EB Garamond" w:hAnsi="EB Garamond"/>
          <w:i w:val="false"/>
          <w:iCs w:val="false"/>
          <w:color w:val="1F1B16"/>
          <w:sz w:val="20"/>
          <w:szCs w:val="20"/>
        </w:rPr>
        <w:t xml:space="preserve">Rosenberg, Y. (1909). </w:t>
      </w:r>
      <w:r>
        <w:rPr>
          <w:rFonts w:ascii="EB Garamond" w:cs="EB Garamond" w:eastAsia="EB Garamond" w:hAnsi="EB Garamond"/>
          <w:i/>
          <w:iCs/>
          <w:color w:val="1F1B16"/>
          <w:sz w:val="20"/>
          <w:szCs w:val="20"/>
        </w:rPr>
        <w:t xml:space="preserve">Nifla'ot Maharal</w:t>
      </w:r>
      <w:r>
        <w:rPr>
          <w:rFonts w:ascii="EB Garamond" w:cs="EB Garamond" w:eastAsia="EB Garamond" w:hAnsi="EB Garamond"/>
          <w:i w:val="false"/>
          <w:iCs w:val="false"/>
          <w:color w:val="1F1B16"/>
          <w:sz w:val="20"/>
          <w:szCs w:val="20"/>
        </w:rPr>
        <w:t xml:space="preserve"> (The Golem and the Wondrous Deeds of the Maharal of Prague). Piotrków. (English: C. Leviant, Trans., Yale, 2007.)</w:t>
      </w:r>
    </w:p>
    <w:p>
      <w:pPr>
        <w:spacing w:after="80"/>
        <w:ind w:left="560" w:hanging="560"/>
      </w:pPr>
      <w:r>
        <w:rPr>
          <w:rFonts w:ascii="EB Garamond" w:cs="EB Garamond" w:eastAsia="EB Garamond" w:hAnsi="EB Garamond"/>
          <w:color w:val="1F1B16"/>
          <w:sz w:val="20"/>
          <w:szCs w:val="20"/>
        </w:rPr>
        <w:t xml:space="preserve">[35]	</w:t>
      </w:r>
      <w:r>
        <w:rPr>
          <w:rFonts w:ascii="EB Garamond" w:cs="EB Garamond" w:eastAsia="EB Garamond" w:hAnsi="EB Garamond"/>
          <w:i w:val="false"/>
          <w:iCs w:val="false"/>
          <w:color w:val="1F1B16"/>
          <w:sz w:val="20"/>
          <w:szCs w:val="20"/>
        </w:rPr>
        <w:t xml:space="preserve">Steiner-Prag, H. (1916). Illustration for G. Meyrink, </w:t>
      </w:r>
      <w:r>
        <w:rPr>
          <w:rFonts w:ascii="EB Garamond" w:cs="EB Garamond" w:eastAsia="EB Garamond" w:hAnsi="EB Garamond"/>
          <w:i/>
          <w:iCs/>
          <w:color w:val="1F1B16"/>
          <w:sz w:val="20"/>
          <w:szCs w:val="20"/>
        </w:rPr>
        <w:t xml:space="preserve">Der Golem</w:t>
      </w:r>
      <w:r>
        <w:rPr>
          <w:rFonts w:ascii="EB Garamond" w:cs="EB Garamond" w:eastAsia="EB Garamond" w:hAnsi="EB Garamond"/>
          <w:i w:val="false"/>
          <w:iCs w:val="false"/>
          <w:color w:val="1F1B16"/>
          <w:sz w:val="20"/>
          <w:szCs w:val="20"/>
        </w:rPr>
        <w:t xml:space="preserve">. Public domain; via 50 Watts Books.</w:t>
      </w:r>
    </w:p>
    <w:p>
      <w:pPr>
        <w:spacing w:after="80"/>
        <w:ind w:left="560" w:hanging="560"/>
      </w:pPr>
      <w:r>
        <w:rPr>
          <w:rFonts w:ascii="EB Garamond" w:cs="EB Garamond" w:eastAsia="EB Garamond" w:hAnsi="EB Garamond"/>
          <w:color w:val="1F1B16"/>
          <w:sz w:val="20"/>
          <w:szCs w:val="20"/>
        </w:rPr>
        <w:t xml:space="preserve">[36]	</w:t>
      </w:r>
      <w:r>
        <w:rPr>
          <w:rFonts w:ascii="EB Garamond" w:cs="EB Garamond" w:eastAsia="EB Garamond" w:hAnsi="EB Garamond"/>
          <w:i w:val="false"/>
          <w:iCs w:val="false"/>
          <w:color w:val="1F1B16"/>
          <w:sz w:val="20"/>
          <w:szCs w:val="20"/>
        </w:rPr>
        <w:t xml:space="preserve">Patterson, D., Gonzalez, J., Le, Q., et al. (2021). Carbon emissions and large neural network training. arXiv:2104.10350. (GPT-3 training estimated at 1,287 MWh.)</w:t>
      </w:r>
    </w:p>
    <w:p>
      <w:pPr>
        <w:spacing w:after="80"/>
        <w:ind w:left="560" w:hanging="560"/>
      </w:pPr>
      <w:r>
        <w:rPr>
          <w:rFonts w:ascii="EB Garamond" w:cs="EB Garamond" w:eastAsia="EB Garamond" w:hAnsi="EB Garamond"/>
          <w:color w:val="1F1B16"/>
          <w:sz w:val="20"/>
          <w:szCs w:val="20"/>
        </w:rPr>
        <w:t xml:space="preserve">[37]	</w:t>
      </w:r>
      <w:r>
        <w:rPr>
          <w:rFonts w:ascii="EB Garamond" w:cs="EB Garamond" w:eastAsia="EB Garamond" w:hAnsi="EB Garamond"/>
          <w:i w:val="false"/>
          <w:iCs w:val="false"/>
          <w:color w:val="1F1B16"/>
          <w:sz w:val="20"/>
          <w:szCs w:val="20"/>
        </w:rPr>
        <w:t xml:space="preserve">Eliade, M. (1954). </w:t>
      </w:r>
      <w:r>
        <w:rPr>
          <w:rFonts w:ascii="EB Garamond" w:cs="EB Garamond" w:eastAsia="EB Garamond" w:hAnsi="EB Garamond"/>
          <w:i/>
          <w:iCs/>
          <w:color w:val="1F1B16"/>
          <w:sz w:val="20"/>
          <w:szCs w:val="20"/>
        </w:rPr>
        <w:t xml:space="preserve">The Myth of the Eternal Return: Cosmos and History</w:t>
      </w:r>
      <w:r>
        <w:rPr>
          <w:rFonts w:ascii="EB Garamond" w:cs="EB Garamond" w:eastAsia="EB Garamond" w:hAnsi="EB Garamond"/>
          <w:i w:val="false"/>
          <w:iCs w:val="false"/>
          <w:color w:val="1F1B16"/>
          <w:sz w:val="20"/>
          <w:szCs w:val="20"/>
        </w:rPr>
        <w:t xml:space="preserve"> (W. R. Trask, Trans.). Princeton University Press.</w:t>
      </w:r>
    </w:p>
    <w:p>
      <w:pPr>
        <w:spacing w:after="80"/>
        <w:ind w:left="560" w:hanging="560"/>
      </w:pPr>
      <w:r>
        <w:rPr>
          <w:rFonts w:ascii="EB Garamond" w:cs="EB Garamond" w:eastAsia="EB Garamond" w:hAnsi="EB Garamond"/>
          <w:color w:val="1F1B16"/>
          <w:sz w:val="20"/>
          <w:szCs w:val="20"/>
        </w:rPr>
        <w:t xml:space="preserve">[38]	</w:t>
      </w:r>
      <w:r>
        <w:rPr>
          <w:rFonts w:ascii="EB Garamond" w:cs="EB Garamond" w:eastAsia="EB Garamond" w:hAnsi="EB Garamond"/>
          <w:i w:val="false"/>
          <w:iCs w:val="false"/>
          <w:color w:val="1F1B16"/>
          <w:sz w:val="20"/>
          <w:szCs w:val="20"/>
        </w:rPr>
        <w:t xml:space="preserve">Aveni, A. (2002). </w:t>
      </w:r>
      <w:r>
        <w:rPr>
          <w:rFonts w:ascii="EB Garamond" w:cs="EB Garamond" w:eastAsia="EB Garamond" w:hAnsi="EB Garamond"/>
          <w:i/>
          <w:iCs/>
          <w:color w:val="1F1B16"/>
          <w:sz w:val="20"/>
          <w:szCs w:val="20"/>
        </w:rPr>
        <w:t xml:space="preserve">Empires of Time: Calendars, Clocks, and Cultures</w:t>
      </w:r>
      <w:r>
        <w:rPr>
          <w:rFonts w:ascii="EB Garamond" w:cs="EB Garamond" w:eastAsia="EB Garamond" w:hAnsi="EB Garamond"/>
          <w:i w:val="false"/>
          <w:iCs w:val="false"/>
          <w:color w:val="1F1B16"/>
          <w:sz w:val="20"/>
          <w:szCs w:val="20"/>
        </w:rPr>
        <w:t xml:space="preserve"> (rev. ed.). University Press of Colorado.</w:t>
      </w:r>
    </w:p>
    <w:p>
      <w:pPr>
        <w:spacing w:after="80"/>
        <w:ind w:left="560" w:hanging="560"/>
      </w:pPr>
      <w:r>
        <w:rPr>
          <w:rFonts w:ascii="EB Garamond" w:cs="EB Garamond" w:eastAsia="EB Garamond" w:hAnsi="EB Garamond"/>
          <w:color w:val="1F1B16"/>
          <w:sz w:val="20"/>
          <w:szCs w:val="20"/>
        </w:rPr>
        <w:t xml:space="preserve">[39]	</w:t>
      </w:r>
      <w:r>
        <w:rPr>
          <w:rFonts w:ascii="EB Garamond" w:cs="EB Garamond" w:eastAsia="EB Garamond" w:hAnsi="EB Garamond"/>
          <w:i w:val="false"/>
          <w:iCs w:val="false"/>
          <w:color w:val="1F1B16"/>
          <w:sz w:val="20"/>
          <w:szCs w:val="20"/>
        </w:rPr>
        <w:t xml:space="preserve">Culpeper, N. (1655). </w:t>
      </w:r>
      <w:r>
        <w:rPr>
          <w:rFonts w:ascii="EB Garamond" w:cs="EB Garamond" w:eastAsia="EB Garamond" w:hAnsi="EB Garamond"/>
          <w:i/>
          <w:iCs/>
          <w:color w:val="1F1B16"/>
          <w:sz w:val="20"/>
          <w:szCs w:val="20"/>
        </w:rPr>
        <w:t xml:space="preserve">Astrological Judgement of Diseases from the Decumbiture of the Sick</w:t>
      </w:r>
      <w:r>
        <w:rPr>
          <w:rFonts w:ascii="EB Garamond" w:cs="EB Garamond" w:eastAsia="EB Garamond" w:hAnsi="EB Garamond"/>
          <w:i w:val="false"/>
          <w:iCs w:val="false"/>
          <w:color w:val="1F1B16"/>
          <w:sz w:val="20"/>
          <w:szCs w:val="20"/>
        </w:rPr>
        <w:t xml:space="preserve">. London. (Venus → kidneys/reins; sixth house → sickness.)</w:t>
      </w:r>
    </w:p>
    <w:p>
      <w:pPr>
        <w:spacing w:after="80"/>
        <w:ind w:left="560" w:hanging="560"/>
      </w:pPr>
      <w:r>
        <w:rPr>
          <w:rFonts w:ascii="EB Garamond" w:cs="EB Garamond" w:eastAsia="EB Garamond" w:hAnsi="EB Garamond"/>
          <w:color w:val="1F1B16"/>
          <w:sz w:val="20"/>
          <w:szCs w:val="20"/>
        </w:rPr>
        <w:t xml:space="preserve">[40]	</w:t>
      </w:r>
      <w:r>
        <w:rPr>
          <w:rFonts w:ascii="EB Garamond" w:cs="EB Garamond" w:eastAsia="EB Garamond" w:hAnsi="EB Garamond"/>
          <w:i w:val="false"/>
          <w:iCs w:val="false"/>
          <w:color w:val="1F1B16"/>
          <w:sz w:val="20"/>
          <w:szCs w:val="20"/>
        </w:rPr>
        <w:t xml:space="preserve">Placidus de Titis (1657). </w:t>
      </w:r>
      <w:r>
        <w:rPr>
          <w:rFonts w:ascii="EB Garamond" w:cs="EB Garamond" w:eastAsia="EB Garamond" w:hAnsi="EB Garamond"/>
          <w:i/>
          <w:iCs/>
          <w:color w:val="1F1B16"/>
          <w:sz w:val="20"/>
          <w:szCs w:val="20"/>
        </w:rPr>
        <w:t xml:space="preserve">Primum Mobile</w:t>
      </w:r>
      <w:r>
        <w:rPr>
          <w:rFonts w:ascii="EB Garamond" w:cs="EB Garamond" w:eastAsia="EB Garamond" w:hAnsi="EB Garamond"/>
          <w:i w:val="false"/>
          <w:iCs w:val="false"/>
          <w:color w:val="1F1B16"/>
          <w:sz w:val="20"/>
          <w:szCs w:val="20"/>
        </w:rPr>
        <w:t xml:space="preserve"> (J. Cooper, Trans., 1814). (Secondary progressions: a day for a year.)</w:t>
      </w:r>
    </w:p>
    <w:p>
      <w:pPr>
        <w:spacing w:after="80"/>
        <w:ind w:left="560" w:hanging="560"/>
      </w:pPr>
      <w:r>
        <w:rPr>
          <w:rFonts w:ascii="EB Garamond" w:cs="EB Garamond" w:eastAsia="EB Garamond" w:hAnsi="EB Garamond"/>
          <w:color w:val="1F1B16"/>
          <w:sz w:val="20"/>
          <w:szCs w:val="20"/>
        </w:rPr>
        <w:t xml:space="preserve">[41]	</w:t>
      </w:r>
      <w:r>
        <w:rPr>
          <w:rFonts w:ascii="EB Garamond" w:cs="EB Garamond" w:eastAsia="EB Garamond" w:hAnsi="EB Garamond"/>
          <w:i w:val="false"/>
          <w:iCs w:val="false"/>
          <w:color w:val="1F1B16"/>
          <w:sz w:val="20"/>
          <w:szCs w:val="20"/>
        </w:rPr>
        <w:t xml:space="preserve">Rudhyar, D. (1967). </w:t>
      </w:r>
      <w:r>
        <w:rPr>
          <w:rFonts w:ascii="EB Garamond" w:cs="EB Garamond" w:eastAsia="EB Garamond" w:hAnsi="EB Garamond"/>
          <w:i/>
          <w:iCs/>
          <w:color w:val="1F1B16"/>
          <w:sz w:val="20"/>
          <w:szCs w:val="20"/>
        </w:rPr>
        <w:t xml:space="preserve">The Lunation Cycle: A Key to the Understanding of Personality</w:t>
      </w:r>
      <w:r>
        <w:rPr>
          <w:rFonts w:ascii="EB Garamond" w:cs="EB Garamond" w:eastAsia="EB Garamond" w:hAnsi="EB Garamond"/>
          <w:i w:val="false"/>
          <w:iCs w:val="false"/>
          <w:color w:val="1F1B16"/>
          <w:sz w:val="20"/>
          <w:szCs w:val="20"/>
        </w:rPr>
        <w:t xml:space="preserve">. Shambhala. (Progressed lunation phases.)</w:t>
      </w:r>
    </w:p>
    <w:p>
      <w:pPr>
        <w:spacing w:after="80"/>
        <w:ind w:left="560" w:hanging="560"/>
      </w:pPr>
      <w:r>
        <w:rPr>
          <w:rFonts w:ascii="EB Garamond" w:cs="EB Garamond" w:eastAsia="EB Garamond" w:hAnsi="EB Garamond"/>
          <w:color w:val="1F1B16"/>
          <w:sz w:val="20"/>
          <w:szCs w:val="20"/>
        </w:rPr>
        <w:t xml:space="preserve">[42]	</w:t>
      </w:r>
      <w:r>
        <w:rPr>
          <w:rFonts w:ascii="EB Garamond" w:cs="EB Garamond" w:eastAsia="EB Garamond" w:hAnsi="EB Garamond"/>
          <w:i w:val="false"/>
          <w:iCs w:val="false"/>
          <w:color w:val="1F1B16"/>
          <w:sz w:val="20"/>
          <w:szCs w:val="20"/>
        </w:rPr>
        <w:t xml:space="preserve">Manso, P. (1994). </w:t>
      </w:r>
      <w:r>
        <w:rPr>
          <w:rFonts w:ascii="EB Garamond" w:cs="EB Garamond" w:eastAsia="EB Garamond" w:hAnsi="EB Garamond"/>
          <w:i/>
          <w:iCs/>
          <w:color w:val="1F1B16"/>
          <w:sz w:val="20"/>
          <w:szCs w:val="20"/>
        </w:rPr>
        <w:t xml:space="preserve">Brando: The Biography</w:t>
      </w:r>
      <w:r>
        <w:rPr>
          <w:rFonts w:ascii="EB Garamond" w:cs="EB Garamond" w:eastAsia="EB Garamond" w:hAnsi="EB Garamond"/>
          <w:i w:val="false"/>
          <w:iCs w:val="false"/>
          <w:color w:val="1F1B16"/>
          <w:sz w:val="20"/>
          <w:szCs w:val="20"/>
        </w:rPr>
        <w:t xml:space="preserve">. Hyperion. (Film dates: 1951, 1954, 1972, 1979, 1989, 2001; d. 2004.)</w:t>
      </w:r>
    </w:p>
    <w:p>
      <w:pPr>
        <w:spacing w:after="80"/>
        <w:ind w:left="560" w:hanging="560"/>
      </w:pPr>
      <w:r>
        <w:rPr>
          <w:rFonts w:ascii="EB Garamond" w:cs="EB Garamond" w:eastAsia="EB Garamond" w:hAnsi="EB Garamond"/>
          <w:color w:val="1F1B16"/>
          <w:sz w:val="20"/>
          <w:szCs w:val="20"/>
        </w:rPr>
        <w:t xml:space="preserve">[43]	</w:t>
      </w:r>
      <w:r>
        <w:rPr>
          <w:rFonts w:ascii="EB Garamond" w:cs="EB Garamond" w:eastAsia="EB Garamond" w:hAnsi="EB Garamond"/>
          <w:i w:val="false"/>
          <w:iCs w:val="false"/>
          <w:color w:val="1F1B16"/>
          <w:sz w:val="20"/>
          <w:szCs w:val="20"/>
        </w:rPr>
        <w:t xml:space="preserve">Paramount Pictures (1961). Publicity photo for </w:t>
      </w:r>
      <w:r>
        <w:rPr>
          <w:rFonts w:ascii="EB Garamond" w:cs="EB Garamond" w:eastAsia="EB Garamond" w:hAnsi="EB Garamond"/>
          <w:i/>
          <w:iCs/>
          <w:color w:val="1F1B16"/>
          <w:sz w:val="20"/>
          <w:szCs w:val="20"/>
        </w:rPr>
        <w:t xml:space="preserve">One-Eyed Jacks</w:t>
      </w:r>
      <w:r>
        <w:rPr>
          <w:rFonts w:ascii="EB Garamond" w:cs="EB Garamond" w:eastAsia="EB Garamond" w:hAnsi="EB Garamond"/>
          <w:i w:val="false"/>
          <w:iCs w:val="false"/>
          <w:color w:val="1F1B16"/>
          <w:sz w:val="20"/>
          <w:szCs w:val="20"/>
        </w:rPr>
        <w:t xml:space="preserve"> [photograph of Marlon Brando]. Public domain; Wikimedia Commons, curid=109203184.</w:t>
      </w:r>
    </w:p>
    <w:p>
      <w:pPr>
        <w:spacing w:after="80"/>
        <w:ind w:left="560" w:hanging="560"/>
      </w:pPr>
      <w:r>
        <w:rPr>
          <w:rFonts w:ascii="EB Garamond" w:cs="EB Garamond" w:eastAsia="EB Garamond" w:hAnsi="EB Garamond"/>
          <w:color w:val="1F1B16"/>
          <w:sz w:val="20"/>
          <w:szCs w:val="20"/>
        </w:rPr>
        <w:t xml:space="preserve">[44]	</w:t>
      </w:r>
      <w:r>
        <w:rPr>
          <w:rFonts w:ascii="EB Garamond" w:cs="EB Garamond" w:eastAsia="EB Garamond" w:hAnsi="EB Garamond"/>
          <w:i w:val="false"/>
          <w:iCs w:val="false"/>
          <w:color w:val="1F1B16"/>
          <w:sz w:val="20"/>
          <w:szCs w:val="20"/>
        </w:rPr>
        <w:t xml:space="preserve">NASA Goddard Space Flight Center. </w:t>
      </w:r>
      <w:r>
        <w:rPr>
          <w:rFonts w:ascii="EB Garamond" w:cs="EB Garamond" w:eastAsia="EB Garamond" w:hAnsi="EB Garamond"/>
          <w:i/>
          <w:iCs/>
          <w:color w:val="1F1B16"/>
          <w:sz w:val="20"/>
          <w:szCs w:val="20"/>
        </w:rPr>
        <w:t xml:space="preserve">Saturn Fact Sheet</w:t>
      </w:r>
      <w:r>
        <w:rPr>
          <w:rFonts w:ascii="EB Garamond" w:cs="EB Garamond" w:eastAsia="EB Garamond" w:hAnsi="EB Garamond"/>
          <w:i w:val="false"/>
          <w:iCs w:val="false"/>
          <w:color w:val="1F1B16"/>
          <w:sz w:val="20"/>
          <w:szCs w:val="20"/>
        </w:rPr>
        <w:t xml:space="preserve">. Sidereal orbital period 29.457 yr. nssdc.gsfc.nasa.gov/planetary/factsheet/saturnfact.html</w:t>
      </w:r>
    </w:p>
    <w:p>
      <w:pPr>
        <w:spacing w:after="80"/>
        <w:ind w:left="560" w:hanging="560"/>
      </w:pPr>
      <w:r>
        <w:rPr>
          <w:rFonts w:ascii="EB Garamond" w:cs="EB Garamond" w:eastAsia="EB Garamond" w:hAnsi="EB Garamond"/>
          <w:color w:val="1F1B16"/>
          <w:sz w:val="20"/>
          <w:szCs w:val="20"/>
        </w:rPr>
        <w:t xml:space="preserve">[45]	</w:t>
      </w:r>
      <w:r>
        <w:rPr>
          <w:rFonts w:ascii="EB Garamond" w:cs="EB Garamond" w:eastAsia="EB Garamond" w:hAnsi="EB Garamond"/>
          <w:i w:val="false"/>
          <w:iCs w:val="false"/>
          <w:color w:val="1F1B16"/>
          <w:sz w:val="20"/>
          <w:szCs w:val="20"/>
        </w:rPr>
        <w:t xml:space="preserve">Brennan, C. (2017). </w:t>
      </w:r>
      <w:r>
        <w:rPr>
          <w:rFonts w:ascii="EB Garamond" w:cs="EB Garamond" w:eastAsia="EB Garamond" w:hAnsi="EB Garamond"/>
          <w:i/>
          <w:iCs/>
          <w:color w:val="1F1B16"/>
          <w:sz w:val="20"/>
          <w:szCs w:val="20"/>
        </w:rPr>
        <w:t xml:space="preserve">Hellenistic Astrology: The Study of Fate and Fortune</w:t>
      </w:r>
      <w:r>
        <w:rPr>
          <w:rFonts w:ascii="EB Garamond" w:cs="EB Garamond" w:eastAsia="EB Garamond" w:hAnsi="EB Garamond"/>
          <w:i w:val="false"/>
          <w:iCs w:val="false"/>
          <w:color w:val="1F1B16"/>
          <w:sz w:val="20"/>
          <w:szCs w:val="20"/>
        </w:rPr>
        <w:t xml:space="preserve">. Amor Fati Publications. (Sect, ch. 7; oriental/occidental; lunar nodes.)</w:t>
      </w:r>
    </w:p>
    <w:p>
      <w:pPr>
        <w:spacing w:after="80"/>
        <w:ind w:left="560" w:hanging="560"/>
      </w:pPr>
      <w:r>
        <w:rPr>
          <w:rFonts w:ascii="EB Garamond" w:cs="EB Garamond" w:eastAsia="EB Garamond" w:hAnsi="EB Garamond"/>
          <w:color w:val="1F1B16"/>
          <w:sz w:val="20"/>
          <w:szCs w:val="20"/>
        </w:rPr>
        <w:t xml:space="preserve">[46]	</w:t>
      </w:r>
      <w:r>
        <w:rPr>
          <w:rFonts w:ascii="EB Garamond" w:cs="EB Garamond" w:eastAsia="EB Garamond" w:hAnsi="EB Garamond"/>
          <w:i w:val="false"/>
          <w:iCs w:val="false"/>
          <w:color w:val="1F1B16"/>
          <w:sz w:val="20"/>
          <w:szCs w:val="20"/>
        </w:rPr>
        <w:t xml:space="preserve">Embedded video, river in storm (slides 32 and 50). No credit on slide.</w:t>
      </w:r>
    </w:p>
    <w:p>
      <w:pPr>
        <w:spacing w:after="80"/>
        <w:ind w:left="560" w:hanging="560"/>
      </w:pPr>
      <w:r>
        <w:rPr>
          <w:rFonts w:ascii="EB Garamond" w:cs="EB Garamond" w:eastAsia="EB Garamond" w:hAnsi="EB Garamond"/>
          <w:color w:val="1F1B16"/>
          <w:sz w:val="20"/>
          <w:szCs w:val="20"/>
        </w:rPr>
        <w:t xml:space="preserve">[47]	</w:t>
      </w:r>
      <w:r>
        <w:rPr>
          <w:rFonts w:ascii="EB Garamond" w:cs="EB Garamond" w:eastAsia="EB Garamond" w:hAnsi="EB Garamond"/>
          <w:i w:val="false"/>
          <w:iCs w:val="false"/>
          <w:color w:val="1F1B16"/>
          <w:sz w:val="20"/>
          <w:szCs w:val="20"/>
        </w:rPr>
        <w:t xml:space="preserve">Embedded video, embryo (slide 33). No credit on slide; renders black in export.</w:t>
      </w:r>
    </w:p>
    <w:p>
      <w:pPr>
        <w:spacing w:after="80"/>
        <w:ind w:left="560" w:hanging="560"/>
      </w:pPr>
      <w:r>
        <w:rPr>
          <w:rFonts w:ascii="EB Garamond" w:cs="EB Garamond" w:eastAsia="EB Garamond" w:hAnsi="EB Garamond"/>
          <w:color w:val="1F1B16"/>
          <w:sz w:val="20"/>
          <w:szCs w:val="20"/>
        </w:rPr>
        <w:t xml:space="preserve">[48]	</w:t>
      </w:r>
      <w:r>
        <w:rPr>
          <w:rFonts w:ascii="EB Garamond" w:cs="EB Garamond" w:eastAsia="EB Garamond" w:hAnsi="EB Garamond"/>
          <w:i w:val="false"/>
          <w:iCs w:val="false"/>
          <w:color w:val="1F1B16"/>
          <w:sz w:val="20"/>
          <w:szCs w:val="20"/>
        </w:rPr>
        <w:t xml:space="preserve">Rowson, J., &amp; Pascal, L. (Eds.) (2021). </w:t>
      </w:r>
      <w:r>
        <w:rPr>
          <w:rFonts w:ascii="EB Garamond" w:cs="EB Garamond" w:eastAsia="EB Garamond" w:hAnsi="EB Garamond"/>
          <w:i/>
          <w:iCs/>
          <w:color w:val="1F1B16"/>
          <w:sz w:val="20"/>
          <w:szCs w:val="20"/>
        </w:rPr>
        <w:t xml:space="preserve">Dispatches from a Time Between Worlds: Crisis and Emergence in Metamodernity</w:t>
      </w:r>
      <w:r>
        <w:rPr>
          <w:rFonts w:ascii="EB Garamond" w:cs="EB Garamond" w:eastAsia="EB Garamond" w:hAnsi="EB Garamond"/>
          <w:i w:val="false"/>
          <w:iCs w:val="false"/>
          <w:color w:val="1F1B16"/>
          <w:sz w:val="20"/>
          <w:szCs w:val="20"/>
        </w:rPr>
        <w:t xml:space="preserve">. Perspectiva Press. (McGilchrist's 'metacrisis' framing.)</w:t>
      </w:r>
    </w:p>
    <w:p>
      <w:pPr>
        <w:spacing w:after="80"/>
        <w:ind w:left="560" w:hanging="560"/>
      </w:pPr>
      <w:r>
        <w:rPr>
          <w:rFonts w:ascii="EB Garamond" w:cs="EB Garamond" w:eastAsia="EB Garamond" w:hAnsi="EB Garamond"/>
          <w:color w:val="1F1B16"/>
          <w:sz w:val="20"/>
          <w:szCs w:val="20"/>
        </w:rPr>
        <w:t xml:space="preserve">[49]	</w:t>
      </w:r>
      <w:r>
        <w:rPr>
          <w:rFonts w:ascii="EB Garamond" w:cs="EB Garamond" w:eastAsia="EB Garamond" w:hAnsi="EB Garamond"/>
          <w:i w:val="false"/>
          <w:iCs w:val="false"/>
          <w:color w:val="1F1B16"/>
          <w:sz w:val="20"/>
          <w:szCs w:val="20"/>
        </w:rPr>
        <w:t xml:space="preserve">Landes, D. S. (1983). </w:t>
      </w:r>
      <w:r>
        <w:rPr>
          <w:rFonts w:ascii="EB Garamond" w:cs="EB Garamond" w:eastAsia="EB Garamond" w:hAnsi="EB Garamond"/>
          <w:i/>
          <w:iCs/>
          <w:color w:val="1F1B16"/>
          <w:sz w:val="20"/>
          <w:szCs w:val="20"/>
        </w:rPr>
        <w:t xml:space="preserve">Revolution in Time: Clocks and the Making of the Modern World</w:t>
      </w:r>
      <w:r>
        <w:rPr>
          <w:rFonts w:ascii="EB Garamond" w:cs="EB Garamond" w:eastAsia="EB Garamond" w:hAnsi="EB Garamond"/>
          <w:i w:val="false"/>
          <w:iCs w:val="false"/>
          <w:color w:val="1F1B16"/>
          <w:sz w:val="20"/>
          <w:szCs w:val="20"/>
        </w:rPr>
        <w:t xml:space="preserve">. Harvard University Press.</w:t>
      </w:r>
    </w:p>
    <w:p>
      <w:pPr>
        <w:spacing w:after="80"/>
        <w:ind w:left="560" w:hanging="560"/>
      </w:pPr>
      <w:r>
        <w:rPr>
          <w:rFonts w:ascii="EB Garamond" w:cs="EB Garamond" w:eastAsia="EB Garamond" w:hAnsi="EB Garamond"/>
          <w:color w:val="1F1B16"/>
          <w:sz w:val="20"/>
          <w:szCs w:val="20"/>
        </w:rPr>
        <w:t xml:space="preserve">[50]	</w:t>
      </w:r>
      <w:r>
        <w:rPr>
          <w:rFonts w:ascii="EB Garamond" w:cs="EB Garamond" w:eastAsia="EB Garamond" w:hAnsi="EB Garamond"/>
          <w:i w:val="false"/>
          <w:iCs w:val="false"/>
          <w:color w:val="1F1B16"/>
          <w:sz w:val="20"/>
          <w:szCs w:val="20"/>
        </w:rPr>
        <w:t xml:space="preserve">Aveni, A. (2001). </w:t>
      </w:r>
      <w:r>
        <w:rPr>
          <w:rFonts w:ascii="EB Garamond" w:cs="EB Garamond" w:eastAsia="EB Garamond" w:hAnsi="EB Garamond"/>
          <w:i/>
          <w:iCs/>
          <w:color w:val="1F1B16"/>
          <w:sz w:val="20"/>
          <w:szCs w:val="20"/>
        </w:rPr>
        <w:t xml:space="preserve">Skywatchers: A Revised and Updated Version of Skywatchers of Ancient Mexico</w:t>
      </w:r>
      <w:r>
        <w:rPr>
          <w:rFonts w:ascii="EB Garamond" w:cs="EB Garamond" w:eastAsia="EB Garamond" w:hAnsi="EB Garamond"/>
          <w:i w:val="false"/>
          <w:iCs w:val="false"/>
          <w:color w:val="1F1B16"/>
          <w:sz w:val="20"/>
          <w:szCs w:val="20"/>
        </w:rPr>
        <w:t xml:space="preserve">. University of Texas Press.</w:t>
      </w:r>
    </w:p>
    <w:p>
      <w:pPr>
        <w:spacing w:after="80"/>
        <w:ind w:left="560" w:hanging="560"/>
      </w:pPr>
      <w:r>
        <w:rPr>
          <w:rFonts w:ascii="EB Garamond" w:cs="EB Garamond" w:eastAsia="EB Garamond" w:hAnsi="EB Garamond"/>
          <w:color w:val="1F1B16"/>
          <w:sz w:val="20"/>
          <w:szCs w:val="20"/>
        </w:rPr>
        <w:t xml:space="preserve">[51]	</w:t>
      </w:r>
      <w:r>
        <w:rPr>
          <w:rFonts w:ascii="EB Garamond" w:cs="EB Garamond" w:eastAsia="EB Garamond" w:hAnsi="EB Garamond"/>
          <w:i w:val="false"/>
          <w:iCs w:val="false"/>
          <w:color w:val="1F1B16"/>
          <w:sz w:val="20"/>
          <w:szCs w:val="20"/>
        </w:rPr>
        <w:t xml:space="preserve">Richards, E. G. (1998). </w:t>
      </w:r>
      <w:r>
        <w:rPr>
          <w:rFonts w:ascii="EB Garamond" w:cs="EB Garamond" w:eastAsia="EB Garamond" w:hAnsi="EB Garamond"/>
          <w:i/>
          <w:iCs/>
          <w:color w:val="1F1B16"/>
          <w:sz w:val="20"/>
          <w:szCs w:val="20"/>
        </w:rPr>
        <w:t xml:space="preserve">Mapping Time: The Calendar and Its History</w:t>
      </w:r>
      <w:r>
        <w:rPr>
          <w:rFonts w:ascii="EB Garamond" w:cs="EB Garamond" w:eastAsia="EB Garamond" w:hAnsi="EB Garamond"/>
          <w:i w:val="false"/>
          <w:iCs w:val="false"/>
          <w:color w:val="1F1B16"/>
          <w:sz w:val="20"/>
          <w:szCs w:val="20"/>
        </w:rPr>
        <w:t xml:space="preserve">. Oxford University Press. (Gregorian reform, 1582.)</w:t>
      </w:r>
    </w:p>
    <w:p>
      <w:pPr>
        <w:spacing w:after="80"/>
        <w:ind w:left="560" w:hanging="560"/>
      </w:pPr>
      <w:r>
        <w:rPr>
          <w:rFonts w:ascii="EB Garamond" w:cs="EB Garamond" w:eastAsia="EB Garamond" w:hAnsi="EB Garamond"/>
          <w:color w:val="1F1B16"/>
          <w:sz w:val="20"/>
          <w:szCs w:val="20"/>
        </w:rPr>
        <w:t xml:space="preserve">[52]	</w:t>
      </w:r>
      <w:r>
        <w:rPr>
          <w:rFonts w:ascii="EB Garamond" w:cs="EB Garamond" w:eastAsia="EB Garamond" w:hAnsi="EB Garamond"/>
          <w:i w:val="false"/>
          <w:iCs w:val="false"/>
          <w:color w:val="1F1B16"/>
          <w:sz w:val="20"/>
          <w:szCs w:val="20"/>
        </w:rPr>
        <w:t xml:space="preserve">Bisanz, M. G. </w:t>
      </w:r>
      <w:r>
        <w:rPr>
          <w:rFonts w:ascii="EB Garamond" w:cs="EB Garamond" w:eastAsia="EB Garamond" w:hAnsi="EB Garamond"/>
          <w:i/>
          <w:iCs/>
          <w:color w:val="1F1B16"/>
          <w:sz w:val="20"/>
          <w:szCs w:val="20"/>
        </w:rPr>
        <w:t xml:space="preserve">Stone version of the Maya 260-day calendar</w:t>
      </w:r>
      <w:r>
        <w:rPr>
          <w:rFonts w:ascii="EB Garamond" w:cs="EB Garamond" w:eastAsia="EB Garamond" w:hAnsi="EB Garamond"/>
          <w:i w:val="false"/>
          <w:iCs w:val="false"/>
          <w:color w:val="1F1B16"/>
          <w:sz w:val="20"/>
          <w:szCs w:val="20"/>
        </w:rPr>
        <w:t xml:space="preserve"> [photograph, Smithsonian]. Wikimedia Commons. CC BY-SA 3.0.</w:t>
      </w:r>
    </w:p>
    <w:p>
      <w:pPr>
        <w:spacing w:after="80"/>
        <w:ind w:left="560" w:hanging="560"/>
      </w:pPr>
      <w:r>
        <w:rPr>
          <w:rFonts w:ascii="EB Garamond" w:cs="EB Garamond" w:eastAsia="EB Garamond" w:hAnsi="EB Garamond"/>
          <w:color w:val="1F1B16"/>
          <w:sz w:val="20"/>
          <w:szCs w:val="20"/>
        </w:rPr>
        <w:t xml:space="preserve">[53]	</w:t>
      </w:r>
      <w:r>
        <w:rPr>
          <w:rFonts w:ascii="EB Garamond" w:cs="EB Garamond" w:eastAsia="EB Garamond" w:hAnsi="EB Garamond"/>
          <w:i w:val="false"/>
          <w:iCs w:val="false"/>
          <w:color w:val="1F1B16"/>
          <w:sz w:val="20"/>
          <w:szCs w:val="20"/>
        </w:rPr>
        <w:t xml:space="preserve">Malmström, V. H. (1973). Origin of the Mesoamerican 260-day calendar. </w:t>
      </w:r>
      <w:r>
        <w:rPr>
          <w:rFonts w:ascii="EB Garamond" w:cs="EB Garamond" w:eastAsia="EB Garamond" w:hAnsi="EB Garamond"/>
          <w:i/>
          <w:iCs/>
          <w:color w:val="1F1B16"/>
          <w:sz w:val="20"/>
          <w:szCs w:val="20"/>
        </w:rPr>
        <w:t xml:space="preserve">Science</w:t>
      </w:r>
      <w:r>
        <w:rPr>
          <w:rFonts w:ascii="EB Garamond" w:cs="EB Garamond" w:eastAsia="EB Garamond" w:hAnsi="EB Garamond"/>
          <w:i w:val="false"/>
          <w:iCs w:val="false"/>
          <w:color w:val="1F1B16"/>
          <w:sz w:val="20"/>
          <w:szCs w:val="20"/>
        </w:rPr>
        <w:t xml:space="preserve">, 181(4103), 939–941.</w:t>
      </w:r>
    </w:p>
    <w:p>
      <w:pPr>
        <w:spacing w:after="80"/>
        <w:ind w:left="560" w:hanging="560"/>
      </w:pPr>
      <w:r>
        <w:rPr>
          <w:rFonts w:ascii="EB Garamond" w:cs="EB Garamond" w:eastAsia="EB Garamond" w:hAnsi="EB Garamond"/>
          <w:color w:val="1F1B16"/>
          <w:sz w:val="20"/>
          <w:szCs w:val="20"/>
        </w:rPr>
        <w:t xml:space="preserve">[54]	</w:t>
      </w:r>
      <w:r>
        <w:rPr>
          <w:rFonts w:ascii="EB Garamond" w:cs="EB Garamond" w:eastAsia="EB Garamond" w:hAnsi="EB Garamond"/>
          <w:i/>
          <w:iCs/>
          <w:color w:val="1F1B16"/>
          <w:sz w:val="20"/>
          <w:szCs w:val="20"/>
        </w:rPr>
        <w:t xml:space="preserve">Vishnu Purana</w:t>
      </w:r>
      <w:r>
        <w:rPr>
          <w:rFonts w:ascii="EB Garamond" w:cs="EB Garamond" w:eastAsia="EB Garamond" w:hAnsi="EB Garamond"/>
          <w:i w:val="false"/>
          <w:iCs w:val="false"/>
          <w:color w:val="1F1B16"/>
          <w:sz w:val="20"/>
          <w:szCs w:val="20"/>
        </w:rPr>
        <w:t xml:space="preserve">, Book I, ch. 3 (H. H. Wilson, Trans., 1840). (Yuga cycle.)</w:t>
      </w:r>
    </w:p>
    <w:p>
      <w:pPr>
        <w:spacing w:after="80"/>
        <w:ind w:left="560" w:hanging="560"/>
      </w:pPr>
      <w:r>
        <w:rPr>
          <w:rFonts w:ascii="EB Garamond" w:cs="EB Garamond" w:eastAsia="EB Garamond" w:hAnsi="EB Garamond"/>
          <w:color w:val="1F1B16"/>
          <w:sz w:val="20"/>
          <w:szCs w:val="20"/>
        </w:rPr>
        <w:t xml:space="preserve">[55]	</w:t>
      </w:r>
      <w:r>
        <w:rPr>
          <w:rFonts w:ascii="EB Garamond" w:cs="EB Garamond" w:eastAsia="EB Garamond" w:hAnsi="EB Garamond"/>
          <w:i w:val="false"/>
          <w:iCs w:val="false"/>
          <w:color w:val="1F1B16"/>
          <w:sz w:val="20"/>
          <w:szCs w:val="20"/>
        </w:rPr>
        <w:t xml:space="preserve">Aristotle. </w:t>
      </w:r>
      <w:r>
        <w:rPr>
          <w:rFonts w:ascii="EB Garamond" w:cs="EB Garamond" w:eastAsia="EB Garamond" w:hAnsi="EB Garamond"/>
          <w:i/>
          <w:iCs/>
          <w:color w:val="1F1B16"/>
          <w:sz w:val="20"/>
          <w:szCs w:val="20"/>
        </w:rPr>
        <w:t xml:space="preserve">On Generation and Corruption</w:t>
      </w:r>
      <w:r>
        <w:rPr>
          <w:rFonts w:ascii="EB Garamond" w:cs="EB Garamond" w:eastAsia="EB Garamond" w:hAnsi="EB Garamond"/>
          <w:i w:val="false"/>
          <w:iCs w:val="false"/>
          <w:color w:val="1F1B16"/>
          <w:sz w:val="20"/>
          <w:szCs w:val="20"/>
        </w:rPr>
        <w:t xml:space="preserve">, II.11, 338a–b (cyclical natural processes). In Barnes (Ed.), </w:t>
      </w:r>
      <w:r>
        <w:rPr>
          <w:rFonts w:ascii="EB Garamond" w:cs="EB Garamond" w:eastAsia="EB Garamond" w:hAnsi="EB Garamond"/>
          <w:i/>
          <w:iCs/>
          <w:color w:val="1F1B16"/>
          <w:sz w:val="20"/>
          <w:szCs w:val="20"/>
        </w:rPr>
        <w:t xml:space="preserve">Complete Works</w:t>
      </w:r>
      <w:r>
        <w:rPr>
          <w:rFonts w:ascii="EB Garamond" w:cs="EB Garamond" w:eastAsia="EB Garamond" w:hAnsi="EB Garamond"/>
          <w:i w:val="false"/>
          <w:iCs w:val="false"/>
          <w:color w:val="1F1B16"/>
          <w:sz w:val="20"/>
          <w:szCs w:val="20"/>
        </w:rPr>
        <w:t xml:space="preserve"> (1984).</w:t>
      </w:r>
    </w:p>
    <w:p>
      <w:pPr>
        <w:spacing w:after="80"/>
        <w:ind w:left="560" w:hanging="560"/>
      </w:pPr>
      <w:r>
        <w:rPr>
          <w:rFonts w:ascii="EB Garamond" w:cs="EB Garamond" w:eastAsia="EB Garamond" w:hAnsi="EB Garamond"/>
          <w:color w:val="1F1B16"/>
          <w:sz w:val="20"/>
          <w:szCs w:val="20"/>
        </w:rPr>
        <w:t xml:space="preserve">[56]	</w:t>
      </w:r>
      <w:r>
        <w:rPr>
          <w:rFonts w:ascii="EB Garamond" w:cs="EB Garamond" w:eastAsia="EB Garamond" w:hAnsi="EB Garamond"/>
          <w:i w:val="false"/>
          <w:iCs w:val="false"/>
          <w:color w:val="1F1B16"/>
          <w:sz w:val="20"/>
          <w:szCs w:val="20"/>
        </w:rPr>
        <w:t xml:space="preserve">Long, A. A., &amp; Sedley, D. N. (1987). </w:t>
      </w:r>
      <w:r>
        <w:rPr>
          <w:rFonts w:ascii="EB Garamond" w:cs="EB Garamond" w:eastAsia="EB Garamond" w:hAnsi="EB Garamond"/>
          <w:i/>
          <w:iCs/>
          <w:color w:val="1F1B16"/>
          <w:sz w:val="20"/>
          <w:szCs w:val="20"/>
        </w:rPr>
        <w:t xml:space="preserve">The Hellenistic Philosophers</w:t>
      </w:r>
      <w:r>
        <w:rPr>
          <w:rFonts w:ascii="EB Garamond" w:cs="EB Garamond" w:eastAsia="EB Garamond" w:hAnsi="EB Garamond"/>
          <w:i w:val="false"/>
          <w:iCs w:val="false"/>
          <w:color w:val="1F1B16"/>
          <w:sz w:val="20"/>
          <w:szCs w:val="20"/>
        </w:rPr>
        <w:t xml:space="preserve">, Vol. 1, §52 (Stoic eternal recurrence). Cambridge University Press.</w:t>
      </w:r>
    </w:p>
    <w:p>
      <w:pPr>
        <w:spacing w:after="80"/>
        <w:ind w:left="560" w:hanging="560"/>
      </w:pPr>
      <w:r>
        <w:rPr>
          <w:rFonts w:ascii="EB Garamond" w:cs="EB Garamond" w:eastAsia="EB Garamond" w:hAnsi="EB Garamond"/>
          <w:color w:val="1F1B16"/>
          <w:sz w:val="20"/>
          <w:szCs w:val="20"/>
        </w:rPr>
        <w:t xml:space="preserve">[57]	</w:t>
      </w:r>
      <w:r>
        <w:rPr>
          <w:rFonts w:ascii="EB Garamond" w:cs="EB Garamond" w:eastAsia="EB Garamond" w:hAnsi="EB Garamond"/>
          <w:i w:val="false"/>
          <w:iCs w:val="false"/>
          <w:color w:val="1F1B16"/>
          <w:sz w:val="20"/>
          <w:szCs w:val="20"/>
        </w:rPr>
        <w:t xml:space="preserve">Hesiod. </w:t>
      </w:r>
      <w:r>
        <w:rPr>
          <w:rFonts w:ascii="EB Garamond" w:cs="EB Garamond" w:eastAsia="EB Garamond" w:hAnsi="EB Garamond"/>
          <w:i/>
          <w:iCs/>
          <w:color w:val="1F1B16"/>
          <w:sz w:val="20"/>
          <w:szCs w:val="20"/>
        </w:rPr>
        <w:t xml:space="preserve">Works and Days</w:t>
      </w:r>
      <w:r>
        <w:rPr>
          <w:rFonts w:ascii="EB Garamond" w:cs="EB Garamond" w:eastAsia="EB Garamond" w:hAnsi="EB Garamond"/>
          <w:i w:val="false"/>
          <w:iCs w:val="false"/>
          <w:color w:val="1F1B16"/>
          <w:sz w:val="20"/>
          <w:szCs w:val="20"/>
        </w:rPr>
        <w:t xml:space="preserve"> (M. L. West, Ed. &amp; Trans., 1978, Oxford; H. G. Evelyn-White, Trans., 1914, Loeb). Ages: 109–201; wish: 174–175; grey-templed infants: 181; farmer's year: 383–617; the Days: 765–828.</w:t>
      </w:r>
    </w:p>
    <w:p>
      <w:pPr>
        <w:spacing w:after="80"/>
        <w:ind w:left="560" w:hanging="560"/>
      </w:pPr>
      <w:r>
        <w:rPr>
          <w:rFonts w:ascii="EB Garamond" w:cs="EB Garamond" w:eastAsia="EB Garamond" w:hAnsi="EB Garamond"/>
          <w:color w:val="1F1B16"/>
          <w:sz w:val="20"/>
          <w:szCs w:val="20"/>
        </w:rPr>
        <w:t xml:space="preserve">[58]	</w:t>
      </w:r>
      <w:r>
        <w:rPr>
          <w:rFonts w:ascii="EB Garamond" w:cs="EB Garamond" w:eastAsia="EB Garamond" w:hAnsi="EB Garamond"/>
          <w:i w:val="false"/>
          <w:iCs w:val="false"/>
          <w:color w:val="1F1B16"/>
          <w:sz w:val="20"/>
          <w:szCs w:val="20"/>
        </w:rPr>
        <w:t xml:space="preserve">Essen, L., &amp; Parry, J. V. L. (1955). An atomic standard of frequency and time interval: A caesium resonator. </w:t>
      </w:r>
      <w:r>
        <w:rPr>
          <w:rFonts w:ascii="EB Garamond" w:cs="EB Garamond" w:eastAsia="EB Garamond" w:hAnsi="EB Garamond"/>
          <w:i/>
          <w:iCs/>
          <w:color w:val="1F1B16"/>
          <w:sz w:val="20"/>
          <w:szCs w:val="20"/>
        </w:rPr>
        <w:t xml:space="preserve">Nature</w:t>
      </w:r>
      <w:r>
        <w:rPr>
          <w:rFonts w:ascii="EB Garamond" w:cs="EB Garamond" w:eastAsia="EB Garamond" w:hAnsi="EB Garamond"/>
          <w:i w:val="false"/>
          <w:iCs w:val="false"/>
          <w:color w:val="1F1B16"/>
          <w:sz w:val="20"/>
          <w:szCs w:val="20"/>
        </w:rPr>
        <w:t xml:space="preserve">, 176(4476), 280–282.</w:t>
      </w:r>
    </w:p>
    <w:p>
      <w:pPr>
        <w:spacing w:after="80"/>
        <w:ind w:left="560" w:hanging="560"/>
      </w:pPr>
      <w:r>
        <w:rPr>
          <w:rFonts w:ascii="EB Garamond" w:cs="EB Garamond" w:eastAsia="EB Garamond" w:hAnsi="EB Garamond"/>
          <w:color w:val="1F1B16"/>
          <w:sz w:val="20"/>
          <w:szCs w:val="20"/>
        </w:rPr>
        <w:t xml:space="preserve">[59]	</w:t>
      </w:r>
      <w:r>
        <w:rPr>
          <w:rFonts w:ascii="EB Garamond" w:cs="EB Garamond" w:eastAsia="EB Garamond" w:hAnsi="EB Garamond"/>
          <w:i w:val="false"/>
          <w:iCs w:val="false"/>
          <w:color w:val="1F1B16"/>
          <w:sz w:val="20"/>
          <w:szCs w:val="20"/>
        </w:rPr>
        <w:t xml:space="preserve">13th General Conference on Weights and Measures (1967). Resolution 1: definition of the second (9,192,631,770 periods of caesium-133 hyperfine transition). BIPM.</w:t>
      </w:r>
    </w:p>
    <w:p>
      <w:pPr>
        <w:spacing w:after="80"/>
        <w:ind w:left="560" w:hanging="560"/>
      </w:pPr>
      <w:r>
        <w:rPr>
          <w:rFonts w:ascii="EB Garamond" w:cs="EB Garamond" w:eastAsia="EB Garamond" w:hAnsi="EB Garamond"/>
          <w:color w:val="1F1B16"/>
          <w:sz w:val="20"/>
          <w:szCs w:val="20"/>
        </w:rPr>
        <w:t xml:space="preserve">[60]	</w:t>
      </w:r>
      <w:r>
        <w:rPr>
          <w:rFonts w:ascii="EB Garamond" w:cs="EB Garamond" w:eastAsia="EB Garamond" w:hAnsi="EB Garamond"/>
          <w:i/>
          <w:iCs/>
          <w:color w:val="1F1B16"/>
          <w:sz w:val="20"/>
          <w:szCs w:val="20"/>
        </w:rPr>
        <w:t xml:space="preserve">Atomic Clock – Louis Essen</w:t>
      </w:r>
      <w:r>
        <w:rPr>
          <w:rFonts w:ascii="EB Garamond" w:cs="EB Garamond" w:eastAsia="EB Garamond" w:hAnsi="EB Garamond"/>
          <w:i w:val="false"/>
          <w:iCs w:val="false"/>
          <w:color w:val="1F1B16"/>
          <w:sz w:val="20"/>
          <w:szCs w:val="20"/>
        </w:rPr>
        <w:t xml:space="preserve"> [photograph, NPL, 1955]. Wikimedia Commons, File:Atomic_Clock-Louis_Essen.jpg.</w:t>
      </w:r>
    </w:p>
    <w:p>
      <w:pPr>
        <w:spacing w:after="80"/>
        <w:ind w:left="560" w:hanging="560"/>
      </w:pPr>
      <w:r>
        <w:rPr>
          <w:rFonts w:ascii="EB Garamond" w:cs="EB Garamond" w:eastAsia="EB Garamond" w:hAnsi="EB Garamond"/>
          <w:color w:val="1F1B16"/>
          <w:sz w:val="20"/>
          <w:szCs w:val="20"/>
        </w:rPr>
        <w:t xml:space="preserve">[61]	</w:t>
      </w:r>
      <w:r>
        <w:rPr>
          <w:rFonts w:ascii="EB Garamond" w:cs="EB Garamond" w:eastAsia="EB Garamond" w:hAnsi="EB Garamond"/>
          <w:i w:val="false"/>
          <w:iCs w:val="false"/>
          <w:color w:val="1F1B16"/>
          <w:sz w:val="20"/>
          <w:szCs w:val="20"/>
        </w:rPr>
        <w:t xml:space="preserve">Meeus, J. (1998). </w:t>
      </w:r>
      <w:r>
        <w:rPr>
          <w:rFonts w:ascii="EB Garamond" w:cs="EB Garamond" w:eastAsia="EB Garamond" w:hAnsi="EB Garamond"/>
          <w:i/>
          <w:iCs/>
          <w:color w:val="1F1B16"/>
          <w:sz w:val="20"/>
          <w:szCs w:val="20"/>
        </w:rPr>
        <w:t xml:space="preserve">Astronomical Algorithms</w:t>
      </w:r>
      <w:r>
        <w:rPr>
          <w:rFonts w:ascii="EB Garamond" w:cs="EB Garamond" w:eastAsia="EB Garamond" w:hAnsi="EB Garamond"/>
          <w:i w:val="false"/>
          <w:iCs w:val="false"/>
          <w:color w:val="1F1B16"/>
          <w:sz w:val="20"/>
          <w:szCs w:val="20"/>
        </w:rPr>
        <w:t xml:space="preserve"> (2nd ed.), ch. 28: Equation of time. Willmann-Bell.</w:t>
      </w:r>
    </w:p>
    <w:p>
      <w:pPr>
        <w:spacing w:after="80"/>
        <w:ind w:left="560" w:hanging="560"/>
      </w:pPr>
      <w:r>
        <w:rPr>
          <w:rFonts w:ascii="EB Garamond" w:cs="EB Garamond" w:eastAsia="EB Garamond" w:hAnsi="EB Garamond"/>
          <w:color w:val="1F1B16"/>
          <w:sz w:val="20"/>
          <w:szCs w:val="20"/>
        </w:rPr>
        <w:t xml:space="preserve">[62]	</w:t>
      </w:r>
      <w:r>
        <w:rPr>
          <w:rFonts w:ascii="EB Garamond" w:cs="EB Garamond" w:eastAsia="EB Garamond" w:hAnsi="EB Garamond"/>
          <w:i w:val="false"/>
          <w:iCs w:val="false"/>
          <w:color w:val="1F1B16"/>
          <w:sz w:val="20"/>
          <w:szCs w:val="20"/>
        </w:rPr>
        <w:t xml:space="preserve">Howse, D. (1980). </w:t>
      </w:r>
      <w:r>
        <w:rPr>
          <w:rFonts w:ascii="EB Garamond" w:cs="EB Garamond" w:eastAsia="EB Garamond" w:hAnsi="EB Garamond"/>
          <w:i/>
          <w:iCs/>
          <w:color w:val="1F1B16"/>
          <w:sz w:val="20"/>
          <w:szCs w:val="20"/>
        </w:rPr>
        <w:t xml:space="preserve">Greenwich Time and the Discovery of the Longitude</w:t>
      </w:r>
      <w:r>
        <w:rPr>
          <w:rFonts w:ascii="EB Garamond" w:cs="EB Garamond" w:eastAsia="EB Garamond" w:hAnsi="EB Garamond"/>
          <w:i w:val="false"/>
          <w:iCs w:val="false"/>
          <w:color w:val="1F1B16"/>
          <w:sz w:val="20"/>
          <w:szCs w:val="20"/>
        </w:rPr>
        <w:t xml:space="preserve">. Oxford University Press. (Adoption of mean solar time: Geneva 1780, London 1792, Paris 1816.)</w:t>
      </w:r>
    </w:p>
    <w:p>
      <w:pPr>
        <w:spacing w:after="80"/>
        <w:ind w:left="560" w:hanging="560"/>
      </w:pPr>
      <w:r>
        <w:rPr>
          <w:rFonts w:ascii="EB Garamond" w:cs="EB Garamond" w:eastAsia="EB Garamond" w:hAnsi="EB Garamond"/>
          <w:color w:val="1F1B16"/>
          <w:sz w:val="20"/>
          <w:szCs w:val="20"/>
        </w:rPr>
        <w:t xml:space="preserve">[63]	</w:t>
      </w:r>
      <w:r>
        <w:rPr>
          <w:rFonts w:ascii="EB Garamond" w:cs="EB Garamond" w:eastAsia="EB Garamond" w:hAnsi="EB Garamond"/>
          <w:i w:val="false"/>
          <w:iCs w:val="false"/>
          <w:color w:val="1F1B16"/>
          <w:sz w:val="20"/>
          <w:szCs w:val="20"/>
        </w:rPr>
        <w:t xml:space="preserve">Rutkin, H. D. (2019). </w:t>
      </w:r>
      <w:r>
        <w:rPr>
          <w:rFonts w:ascii="EB Garamond" w:cs="EB Garamond" w:eastAsia="EB Garamond" w:hAnsi="EB Garamond"/>
          <w:i/>
          <w:iCs/>
          <w:color w:val="1F1B16"/>
          <w:sz w:val="20"/>
          <w:szCs w:val="20"/>
        </w:rPr>
        <w:t xml:space="preserve">Sapientia Astrologica: Astrology, Magic and Natural Knowledge, ca. 1250–1800</w:t>
      </w:r>
      <w:r>
        <w:rPr>
          <w:rFonts w:ascii="EB Garamond" w:cs="EB Garamond" w:eastAsia="EB Garamond" w:hAnsi="EB Garamond"/>
          <w:i w:val="false"/>
          <w:iCs w:val="false"/>
          <w:color w:val="1F1B16"/>
          <w:sz w:val="20"/>
          <w:szCs w:val="20"/>
        </w:rPr>
        <w:t xml:space="preserve">, Vol. 1. Springer.</w:t>
      </w:r>
    </w:p>
    <w:p>
      <w:pPr>
        <w:spacing w:after="80"/>
        <w:ind w:left="560" w:hanging="560"/>
      </w:pPr>
      <w:r>
        <w:rPr>
          <w:rFonts w:ascii="EB Garamond" w:cs="EB Garamond" w:eastAsia="EB Garamond" w:hAnsi="EB Garamond"/>
          <w:color w:val="1F1B16"/>
          <w:sz w:val="20"/>
          <w:szCs w:val="20"/>
        </w:rPr>
        <w:t xml:space="preserve">[64]	</w:t>
      </w:r>
      <w:r>
        <w:rPr>
          <w:rFonts w:ascii="EB Garamond" w:cs="EB Garamond" w:eastAsia="EB Garamond" w:hAnsi="EB Garamond"/>
          <w:i w:val="false"/>
          <w:iCs w:val="false"/>
          <w:color w:val="1F1B16"/>
          <w:sz w:val="20"/>
          <w:szCs w:val="20"/>
        </w:rPr>
        <w:t xml:space="preserve">Curry, P. (1989). </w:t>
      </w:r>
      <w:r>
        <w:rPr>
          <w:rFonts w:ascii="EB Garamond" w:cs="EB Garamond" w:eastAsia="EB Garamond" w:hAnsi="EB Garamond"/>
          <w:i/>
          <w:iCs/>
          <w:color w:val="1F1B16"/>
          <w:sz w:val="20"/>
          <w:szCs w:val="20"/>
        </w:rPr>
        <w:t xml:space="preserve">Prophecy and Power: Astrology in Early Modern England</w:t>
      </w:r>
      <w:r>
        <w:rPr>
          <w:rFonts w:ascii="EB Garamond" w:cs="EB Garamond" w:eastAsia="EB Garamond" w:hAnsi="EB Garamond"/>
          <w:i w:val="false"/>
          <w:iCs w:val="false"/>
          <w:color w:val="1F1B16"/>
          <w:sz w:val="20"/>
          <w:szCs w:val="20"/>
        </w:rPr>
        <w:t xml:space="preserve">. Princeton University Press.</w:t>
      </w:r>
    </w:p>
    <w:p>
      <w:pPr>
        <w:spacing w:after="80"/>
        <w:ind w:left="560" w:hanging="560"/>
      </w:pPr>
      <w:r>
        <w:rPr>
          <w:rFonts w:ascii="EB Garamond" w:cs="EB Garamond" w:eastAsia="EB Garamond" w:hAnsi="EB Garamond"/>
          <w:color w:val="1F1B16"/>
          <w:sz w:val="20"/>
          <w:szCs w:val="20"/>
        </w:rPr>
        <w:t xml:space="preserve">[65]	</w:t>
      </w:r>
      <w:r>
        <w:rPr>
          <w:rFonts w:ascii="EB Garamond" w:cs="EB Garamond" w:eastAsia="EB Garamond" w:hAnsi="EB Garamond"/>
          <w:i w:val="false"/>
          <w:iCs w:val="false"/>
          <w:color w:val="1F1B16"/>
          <w:sz w:val="20"/>
          <w:szCs w:val="20"/>
        </w:rPr>
        <w:t xml:space="preserve">Thomas, K. (1971). </w:t>
      </w:r>
      <w:r>
        <w:rPr>
          <w:rFonts w:ascii="EB Garamond" w:cs="EB Garamond" w:eastAsia="EB Garamond" w:hAnsi="EB Garamond"/>
          <w:i/>
          <w:iCs/>
          <w:color w:val="1F1B16"/>
          <w:sz w:val="20"/>
          <w:szCs w:val="20"/>
        </w:rPr>
        <w:t xml:space="preserve">Religion and the Decline of Magic</w:t>
      </w:r>
      <w:r>
        <w:rPr>
          <w:rFonts w:ascii="EB Garamond" w:cs="EB Garamond" w:eastAsia="EB Garamond" w:hAnsi="EB Garamond"/>
          <w:i w:val="false"/>
          <w:iCs w:val="false"/>
          <w:color w:val="1F1B16"/>
          <w:sz w:val="20"/>
          <w:szCs w:val="20"/>
        </w:rPr>
        <w:t xml:space="preserve">. Weidenfeld &amp; Nicolson.</w:t>
      </w:r>
    </w:p>
    <w:p>
      <w:pPr>
        <w:spacing w:after="80"/>
        <w:ind w:left="560" w:hanging="560"/>
      </w:pPr>
      <w:r>
        <w:rPr>
          <w:rFonts w:ascii="EB Garamond" w:cs="EB Garamond" w:eastAsia="EB Garamond" w:hAnsi="EB Garamond"/>
          <w:color w:val="1F1B16"/>
          <w:sz w:val="20"/>
          <w:szCs w:val="20"/>
        </w:rPr>
        <w:t xml:space="preserve">[66]	</w:t>
      </w:r>
      <w:r>
        <w:rPr>
          <w:rFonts w:ascii="EB Garamond" w:cs="EB Garamond" w:eastAsia="EB Garamond" w:hAnsi="EB Garamond"/>
          <w:i w:val="false"/>
          <w:iCs w:val="false"/>
          <w:color w:val="1F1B16"/>
          <w:sz w:val="20"/>
          <w:szCs w:val="20"/>
        </w:rPr>
        <w:t xml:space="preserve">Pinch, G. (2002). </w:t>
      </w:r>
      <w:r>
        <w:rPr>
          <w:rFonts w:ascii="EB Garamond" w:cs="EB Garamond" w:eastAsia="EB Garamond" w:hAnsi="EB Garamond"/>
          <w:i/>
          <w:iCs/>
          <w:color w:val="1F1B16"/>
          <w:sz w:val="20"/>
          <w:szCs w:val="20"/>
        </w:rPr>
        <w:t xml:space="preserve">Egyptian Mythology: A Guide to the Gods, Goddesses, and Traditions of Ancient Egypt</w:t>
      </w:r>
      <w:r>
        <w:rPr>
          <w:rFonts w:ascii="EB Garamond" w:cs="EB Garamond" w:eastAsia="EB Garamond" w:hAnsi="EB Garamond"/>
          <w:i w:val="false"/>
          <w:iCs w:val="false"/>
          <w:color w:val="1F1B16"/>
          <w:sz w:val="20"/>
          <w:szCs w:val="20"/>
        </w:rPr>
        <w:t xml:space="preserve">. Oxford University Press. (Wedjat, 'the whole one'; Thoth restores the eye.)</w:t>
      </w:r>
    </w:p>
    <w:p>
      <w:pPr>
        <w:spacing w:after="80"/>
        <w:ind w:left="560" w:hanging="560"/>
      </w:pPr>
      <w:r>
        <w:rPr>
          <w:rFonts w:ascii="EB Garamond" w:cs="EB Garamond" w:eastAsia="EB Garamond" w:hAnsi="EB Garamond"/>
          <w:color w:val="1F1B16"/>
          <w:sz w:val="20"/>
          <w:szCs w:val="20"/>
        </w:rPr>
        <w:t xml:space="preserve">[67]	</w:t>
      </w:r>
      <w:r>
        <w:rPr>
          <w:rFonts w:ascii="EB Garamond" w:cs="EB Garamond" w:eastAsia="EB Garamond" w:hAnsi="EB Garamond"/>
          <w:i w:val="false"/>
          <w:iCs w:val="false"/>
          <w:color w:val="1F1B16"/>
          <w:sz w:val="20"/>
          <w:szCs w:val="20"/>
        </w:rPr>
        <w:t xml:space="preserve">Lichtheim, M. (1976). </w:t>
      </w:r>
      <w:r>
        <w:rPr>
          <w:rFonts w:ascii="EB Garamond" w:cs="EB Garamond" w:eastAsia="EB Garamond" w:hAnsi="EB Garamond"/>
          <w:i/>
          <w:iCs/>
          <w:color w:val="1F1B16"/>
          <w:sz w:val="20"/>
          <w:szCs w:val="20"/>
        </w:rPr>
        <w:t xml:space="preserve">Ancient Egyptian Literature</w:t>
      </w:r>
      <w:r>
        <w:rPr>
          <w:rFonts w:ascii="EB Garamond" w:cs="EB Garamond" w:eastAsia="EB Garamond" w:hAnsi="EB Garamond"/>
          <w:i w:val="false"/>
          <w:iCs w:val="false"/>
          <w:color w:val="1F1B16"/>
          <w:sz w:val="20"/>
          <w:szCs w:val="20"/>
        </w:rPr>
        <w:t xml:space="preserve">, Vol. II: The Contendings of Horus and Seth (Papyrus Chester Beatty I). University of California Press.</w:t>
      </w:r>
    </w:p>
    <w:p>
      <w:pPr>
        <w:spacing w:after="80"/>
        <w:ind w:left="560" w:hanging="560"/>
      </w:pPr>
      <w:r>
        <w:rPr>
          <w:rFonts w:ascii="EB Garamond" w:cs="EB Garamond" w:eastAsia="EB Garamond" w:hAnsi="EB Garamond"/>
          <w:color w:val="1F1B16"/>
          <w:sz w:val="20"/>
          <w:szCs w:val="20"/>
        </w:rPr>
        <w:t xml:space="preserve">[68]	</w:t>
      </w:r>
      <w:r>
        <w:rPr>
          <w:rFonts w:ascii="EB Garamond" w:cs="EB Garamond" w:eastAsia="EB Garamond" w:hAnsi="EB Garamond"/>
          <w:i/>
          <w:iCs/>
          <w:color w:val="1F1B16"/>
          <w:sz w:val="20"/>
          <w:szCs w:val="20"/>
        </w:rPr>
        <w:t xml:space="preserve">Gospel of Matthew</w:t>
      </w:r>
      <w:r>
        <w:rPr>
          <w:rFonts w:ascii="EB Garamond" w:cs="EB Garamond" w:eastAsia="EB Garamond" w:hAnsi="EB Garamond"/>
          <w:i w:val="false"/>
          <w:iCs w:val="false"/>
          <w:color w:val="1F1B16"/>
          <w:sz w:val="20"/>
          <w:szCs w:val="20"/>
        </w:rPr>
        <w:t xml:space="preserve"> 5:29 (KJV).</w:t>
      </w:r>
    </w:p>
    <w:p>
      <w:pPr>
        <w:spacing w:after="80"/>
        <w:ind w:left="560" w:hanging="560"/>
      </w:pPr>
      <w:r>
        <w:rPr>
          <w:rFonts w:ascii="EB Garamond" w:cs="EB Garamond" w:eastAsia="EB Garamond" w:hAnsi="EB Garamond"/>
          <w:color w:val="1F1B16"/>
          <w:sz w:val="20"/>
          <w:szCs w:val="20"/>
        </w:rPr>
        <w:t xml:space="preserve">[69]	</w:t>
      </w:r>
      <w:r>
        <w:rPr>
          <w:rFonts w:ascii="EB Garamond" w:cs="EB Garamond" w:eastAsia="EB Garamond" w:hAnsi="EB Garamond"/>
          <w:i w:val="false"/>
          <w:iCs w:val="false"/>
          <w:color w:val="1F1B16"/>
          <w:sz w:val="20"/>
          <w:szCs w:val="20"/>
        </w:rPr>
        <w:t xml:space="preserve">Image 'Designed by Magnific' (www.magnific.com) — AI-generated/upscaled image of a Wedjat amulet.</w:t>
      </w:r>
    </w:p>
    <w:p>
      <w:pPr>
        <w:spacing w:after="80"/>
        <w:ind w:left="560" w:hanging="560"/>
      </w:pPr>
      <w:r>
        <w:rPr>
          <w:rFonts w:ascii="EB Garamond" w:cs="EB Garamond" w:eastAsia="EB Garamond" w:hAnsi="EB Garamond"/>
          <w:color w:val="1F1B16"/>
          <w:sz w:val="20"/>
          <w:szCs w:val="20"/>
        </w:rPr>
        <w:t xml:space="preserve">[70]	</w:t>
      </w:r>
      <w:r>
        <w:rPr>
          <w:rFonts w:ascii="EB Garamond" w:cs="EB Garamond" w:eastAsia="EB Garamond" w:hAnsi="EB Garamond"/>
          <w:i w:val="false"/>
          <w:iCs w:val="false"/>
          <w:color w:val="1F1B16"/>
          <w:sz w:val="20"/>
          <w:szCs w:val="20"/>
        </w:rPr>
        <w:t xml:space="preserve">Gazzaniga, M. S. (2000). Cerebral specialization and interhemispheric communication: Does the corpus callosum enable the human condition? </w:t>
      </w:r>
      <w:r>
        <w:rPr>
          <w:rFonts w:ascii="EB Garamond" w:cs="EB Garamond" w:eastAsia="EB Garamond" w:hAnsi="EB Garamond"/>
          <w:i/>
          <w:iCs/>
          <w:color w:val="1F1B16"/>
          <w:sz w:val="20"/>
          <w:szCs w:val="20"/>
        </w:rPr>
        <w:t xml:space="preserve">Brain</w:t>
      </w:r>
      <w:r>
        <w:rPr>
          <w:rFonts w:ascii="EB Garamond" w:cs="EB Garamond" w:eastAsia="EB Garamond" w:hAnsi="EB Garamond"/>
          <w:i w:val="false"/>
          <w:iCs w:val="false"/>
          <w:color w:val="1F1B16"/>
          <w:sz w:val="20"/>
          <w:szCs w:val="20"/>
        </w:rPr>
        <w:t xml:space="preserve">, 123(7), 1293–1326. (The left-hemisphere 'interpreter'.)</w:t>
      </w:r>
    </w:p>
    <w:p>
      <w:pPr>
        <w:spacing w:after="80"/>
        <w:ind w:left="560" w:hanging="560"/>
      </w:pPr>
      <w:r>
        <w:rPr>
          <w:rFonts w:ascii="EB Garamond" w:cs="EB Garamond" w:eastAsia="EB Garamond" w:hAnsi="EB Garamond"/>
          <w:color w:val="1F1B16"/>
          <w:sz w:val="20"/>
          <w:szCs w:val="20"/>
        </w:rPr>
        <w:t xml:space="preserve">[71]	</w:t>
      </w:r>
      <w:r>
        <w:rPr>
          <w:rFonts w:ascii="EB Garamond" w:cs="EB Garamond" w:eastAsia="EB Garamond" w:hAnsi="EB Garamond"/>
          <w:i w:val="false"/>
          <w:iCs w:val="false"/>
          <w:color w:val="1F1B16"/>
          <w:sz w:val="20"/>
          <w:szCs w:val="20"/>
        </w:rPr>
        <w:t xml:space="preserve">Ji, Z., Lee, N., Frieske, R., et al. (2023). Survey of hallucination in natural language generation. </w:t>
      </w:r>
      <w:r>
        <w:rPr>
          <w:rFonts w:ascii="EB Garamond" w:cs="EB Garamond" w:eastAsia="EB Garamond" w:hAnsi="EB Garamond"/>
          <w:i/>
          <w:iCs/>
          <w:color w:val="1F1B16"/>
          <w:sz w:val="20"/>
          <w:szCs w:val="20"/>
        </w:rPr>
        <w:t xml:space="preserve">ACM Computing Surveys</w:t>
      </w:r>
      <w:r>
        <w:rPr>
          <w:rFonts w:ascii="EB Garamond" w:cs="EB Garamond" w:eastAsia="EB Garamond" w:hAnsi="EB Garamond"/>
          <w:i w:val="false"/>
          <w:iCs w:val="false"/>
          <w:color w:val="1F1B16"/>
          <w:sz w:val="20"/>
          <w:szCs w:val="20"/>
        </w:rPr>
        <w:t xml:space="preserve">, 55(12), 1–38.</w:t>
      </w:r>
    </w:p>
    <w:p>
      <w:pPr>
        <w:spacing w:after="80"/>
        <w:ind w:left="560" w:hanging="560"/>
      </w:pPr>
      <w:r>
        <w:rPr>
          <w:rFonts w:ascii="EB Garamond" w:cs="EB Garamond" w:eastAsia="EB Garamond" w:hAnsi="EB Garamond"/>
          <w:color w:val="1F1B16"/>
          <w:sz w:val="20"/>
          <w:szCs w:val="20"/>
        </w:rPr>
        <w:t xml:space="preserve">[72]	</w:t>
      </w:r>
      <w:r>
        <w:rPr>
          <w:rFonts w:ascii="EB Garamond" w:cs="EB Garamond" w:eastAsia="EB Garamond" w:hAnsi="EB Garamond"/>
          <w:i w:val="false"/>
          <w:iCs w:val="false"/>
          <w:color w:val="1F1B16"/>
          <w:sz w:val="20"/>
          <w:szCs w:val="20"/>
        </w:rPr>
        <w:t xml:space="preserve">Sharma, M., Tong, M., Korbak, T., et al. (2023). Towards understanding sycophancy in language models. arXiv:2310.13548.</w:t>
      </w:r>
    </w:p>
    <w:p>
      <w:pPr>
        <w:spacing w:after="80"/>
        <w:ind w:left="560" w:hanging="560"/>
      </w:pPr>
      <w:r>
        <w:rPr>
          <w:rFonts w:ascii="EB Garamond" w:cs="EB Garamond" w:eastAsia="EB Garamond" w:hAnsi="EB Garamond"/>
          <w:color w:val="1F1B16"/>
          <w:sz w:val="20"/>
          <w:szCs w:val="20"/>
        </w:rPr>
        <w:t xml:space="preserve">[73]	</w:t>
      </w:r>
      <w:r>
        <w:rPr>
          <w:rFonts w:ascii="EB Garamond" w:cs="EB Garamond" w:eastAsia="EB Garamond" w:hAnsi="EB Garamond"/>
          <w:i w:val="false"/>
          <w:iCs w:val="false"/>
          <w:color w:val="1F1B16"/>
          <w:sz w:val="20"/>
          <w:szCs w:val="20"/>
        </w:rPr>
        <w:t xml:space="preserve">Bisiach, E., &amp; Luzzatti, C. (1978). Unilateral neglect of representational space. </w:t>
      </w:r>
      <w:r>
        <w:rPr>
          <w:rFonts w:ascii="EB Garamond" w:cs="EB Garamond" w:eastAsia="EB Garamond" w:hAnsi="EB Garamond"/>
          <w:i/>
          <w:iCs/>
          <w:color w:val="1F1B16"/>
          <w:sz w:val="20"/>
          <w:szCs w:val="20"/>
        </w:rPr>
        <w:t xml:space="preserve">Cortex</w:t>
      </w:r>
      <w:r>
        <w:rPr>
          <w:rFonts w:ascii="EB Garamond" w:cs="EB Garamond" w:eastAsia="EB Garamond" w:hAnsi="EB Garamond"/>
          <w:i w:val="false"/>
          <w:iCs w:val="false"/>
          <w:color w:val="1F1B16"/>
          <w:sz w:val="20"/>
          <w:szCs w:val="20"/>
        </w:rPr>
        <w:t xml:space="preserve">, 14(1), 129–133.</w:t>
      </w:r>
    </w:p>
    <w:p>
      <w:pPr>
        <w:spacing w:after="80"/>
        <w:ind w:left="560" w:hanging="560"/>
      </w:pPr>
      <w:r>
        <w:rPr>
          <w:rFonts w:ascii="EB Garamond" w:cs="EB Garamond" w:eastAsia="EB Garamond" w:hAnsi="EB Garamond"/>
          <w:color w:val="1F1B16"/>
          <w:sz w:val="20"/>
          <w:szCs w:val="20"/>
        </w:rPr>
        <w:t xml:space="preserve">[74]	</w:t>
      </w:r>
      <w:r>
        <w:rPr>
          <w:rFonts w:ascii="EB Garamond" w:cs="EB Garamond" w:eastAsia="EB Garamond" w:hAnsi="EB Garamond"/>
          <w:i w:val="false"/>
          <w:iCs w:val="false"/>
          <w:color w:val="1F1B16"/>
          <w:sz w:val="20"/>
          <w:szCs w:val="20"/>
        </w:rPr>
        <w:t xml:space="preserve">Liu, N. F., Lin, K., Hewitt, J., et al. (2024). Lost in the middle: How language models use long contexts. </w:t>
      </w:r>
      <w:r>
        <w:rPr>
          <w:rFonts w:ascii="EB Garamond" w:cs="EB Garamond" w:eastAsia="EB Garamond" w:hAnsi="EB Garamond"/>
          <w:i/>
          <w:iCs/>
          <w:color w:val="1F1B16"/>
          <w:sz w:val="20"/>
          <w:szCs w:val="20"/>
        </w:rPr>
        <w:t xml:space="preserve">Transactions of the ACL</w:t>
      </w:r>
      <w:r>
        <w:rPr>
          <w:rFonts w:ascii="EB Garamond" w:cs="EB Garamond" w:eastAsia="EB Garamond" w:hAnsi="EB Garamond"/>
          <w:i w:val="false"/>
          <w:iCs w:val="false"/>
          <w:color w:val="1F1B16"/>
          <w:sz w:val="20"/>
          <w:szCs w:val="20"/>
        </w:rPr>
        <w:t xml:space="preserve">, 12, 157–173.</w:t>
      </w:r>
    </w:p>
    <w:p>
      <w:pPr>
        <w:spacing w:after="80"/>
        <w:ind w:left="560" w:hanging="560"/>
      </w:pPr>
      <w:r>
        <w:rPr>
          <w:rFonts w:ascii="EB Garamond" w:cs="EB Garamond" w:eastAsia="EB Garamond" w:hAnsi="EB Garamond"/>
          <w:color w:val="1F1B16"/>
          <w:sz w:val="20"/>
          <w:szCs w:val="20"/>
        </w:rPr>
        <w:t xml:space="preserve">[75]	</w:t>
      </w:r>
      <w:r>
        <w:rPr>
          <w:rFonts w:ascii="EB Garamond" w:cs="EB Garamond" w:eastAsia="EB Garamond" w:hAnsi="EB Garamond"/>
          <w:i w:val="false"/>
          <w:iCs w:val="false"/>
          <w:color w:val="1F1B16"/>
          <w:sz w:val="20"/>
          <w:szCs w:val="20"/>
        </w:rPr>
        <w:t xml:space="preserve">Zde. </w:t>
      </w:r>
      <w:r>
        <w:rPr>
          <w:rFonts w:ascii="EB Garamond" w:cs="EB Garamond" w:eastAsia="EB Garamond" w:hAnsi="EB Garamond"/>
          <w:i/>
          <w:iCs/>
          <w:color w:val="1F1B16"/>
          <w:sz w:val="20"/>
          <w:szCs w:val="20"/>
        </w:rPr>
        <w:t xml:space="preserve">Aegeus consulting the Pythia</w:t>
      </w:r>
      <w:r>
        <w:rPr>
          <w:rFonts w:ascii="EB Garamond" w:cs="EB Garamond" w:eastAsia="EB Garamond" w:hAnsi="EB Garamond"/>
          <w:i w:val="false"/>
          <w:iCs w:val="false"/>
          <w:color w:val="1F1B16"/>
          <w:sz w:val="20"/>
          <w:szCs w:val="20"/>
        </w:rPr>
        <w:t xml:space="preserve"> [photograph of Attic red-figure kylix, Kodros Painter, c. 440–430 BCE, Antikensammlung Berlin]. Wikimedia Commons, curid=62073855. CC BY-SA 4.0.</w:t>
      </w:r>
    </w:p>
    <w:p>
      <w:pPr>
        <w:spacing w:after="80"/>
        <w:ind w:left="560" w:hanging="560"/>
      </w:pPr>
      <w:r>
        <w:rPr>
          <w:rFonts w:ascii="EB Garamond" w:cs="EB Garamond" w:eastAsia="EB Garamond" w:hAnsi="EB Garamond"/>
          <w:color w:val="1F1B16"/>
          <w:sz w:val="20"/>
          <w:szCs w:val="20"/>
        </w:rPr>
        <w:t xml:space="preserve">[76]	</w:t>
      </w:r>
      <w:r>
        <w:rPr>
          <w:rFonts w:ascii="EB Garamond" w:cs="EB Garamond" w:eastAsia="EB Garamond" w:hAnsi="EB Garamond"/>
          <w:i w:val="false"/>
          <w:iCs w:val="false"/>
          <w:color w:val="1F1B16"/>
          <w:sz w:val="20"/>
          <w:szCs w:val="20"/>
        </w:rPr>
        <w:t xml:space="preserve">Pausanias. </w:t>
      </w:r>
      <w:r>
        <w:rPr>
          <w:rFonts w:ascii="EB Garamond" w:cs="EB Garamond" w:eastAsia="EB Garamond" w:hAnsi="EB Garamond"/>
          <w:i/>
          <w:iCs/>
          <w:color w:val="1F1B16"/>
          <w:sz w:val="20"/>
          <w:szCs w:val="20"/>
        </w:rPr>
        <w:t xml:space="preserve">Description of Greece</w:t>
      </w:r>
      <w:r>
        <w:rPr>
          <w:rFonts w:ascii="EB Garamond" w:cs="EB Garamond" w:eastAsia="EB Garamond" w:hAnsi="EB Garamond"/>
          <w:i w:val="false"/>
          <w:iCs w:val="false"/>
          <w:color w:val="1F1B16"/>
          <w:sz w:val="20"/>
          <w:szCs w:val="20"/>
        </w:rPr>
        <w:t xml:space="preserve">, X.24.1 ('Know thyself' inscribed at Delphi) (W. H. S. Jones, Trans.). Loeb Classical Library.</w:t>
      </w:r>
    </w:p>
    <w:p>
      <w:pPr>
        <w:spacing w:after="80"/>
        <w:ind w:left="560" w:hanging="560"/>
      </w:pPr>
      <w:r>
        <w:rPr>
          <w:rFonts w:ascii="EB Garamond" w:cs="EB Garamond" w:eastAsia="EB Garamond" w:hAnsi="EB Garamond"/>
          <w:color w:val="1F1B16"/>
          <w:sz w:val="20"/>
          <w:szCs w:val="20"/>
        </w:rPr>
        <w:t xml:space="preserve">[77]	</w:t>
      </w:r>
      <w:r>
        <w:rPr>
          <w:rFonts w:ascii="EB Garamond" w:cs="EB Garamond" w:eastAsia="EB Garamond" w:hAnsi="EB Garamond"/>
          <w:i w:val="false"/>
          <w:iCs w:val="false"/>
          <w:color w:val="1F1B16"/>
          <w:sz w:val="20"/>
          <w:szCs w:val="20"/>
        </w:rPr>
        <w:t xml:space="preserve">Plato. </w:t>
      </w:r>
      <w:r>
        <w:rPr>
          <w:rFonts w:ascii="EB Garamond" w:cs="EB Garamond" w:eastAsia="EB Garamond" w:hAnsi="EB Garamond"/>
          <w:i/>
          <w:iCs/>
          <w:color w:val="1F1B16"/>
          <w:sz w:val="20"/>
          <w:szCs w:val="20"/>
        </w:rPr>
        <w:t xml:space="preserve">Protagoras</w:t>
      </w:r>
      <w:r>
        <w:rPr>
          <w:rFonts w:ascii="EB Garamond" w:cs="EB Garamond" w:eastAsia="EB Garamond" w:hAnsi="EB Garamond"/>
          <w:i w:val="false"/>
          <w:iCs w:val="false"/>
          <w:color w:val="1F1B16"/>
          <w:sz w:val="20"/>
          <w:szCs w:val="20"/>
        </w:rPr>
        <w:t xml:space="preserve"> 343b (the Delphic maxims).</w:t>
      </w:r>
    </w:p>
    <w:p>
      <w:pPr>
        <w:spacing w:after="80"/>
        <w:ind w:left="560" w:hanging="560"/>
      </w:pPr>
      <w:r>
        <w:rPr>
          <w:rFonts w:ascii="EB Garamond" w:cs="EB Garamond" w:eastAsia="EB Garamond" w:hAnsi="EB Garamond"/>
          <w:color w:val="1F1B16"/>
          <w:sz w:val="20"/>
          <w:szCs w:val="20"/>
        </w:rPr>
        <w:t xml:space="preserve">[78]	</w:t>
      </w:r>
      <w:r>
        <w:rPr>
          <w:rFonts w:ascii="EB Garamond" w:cs="EB Garamond" w:eastAsia="EB Garamond" w:hAnsi="EB Garamond"/>
          <w:i w:val="false"/>
          <w:iCs w:val="false"/>
          <w:color w:val="1F1B16"/>
          <w:sz w:val="20"/>
          <w:szCs w:val="20"/>
        </w:rPr>
        <w:t xml:space="preserve">Fontenrose, J. (1978). </w:t>
      </w:r>
      <w:r>
        <w:rPr>
          <w:rFonts w:ascii="EB Garamond" w:cs="EB Garamond" w:eastAsia="EB Garamond" w:hAnsi="EB Garamond"/>
          <w:i/>
          <w:iCs/>
          <w:color w:val="1F1B16"/>
          <w:sz w:val="20"/>
          <w:szCs w:val="20"/>
        </w:rPr>
        <w:t xml:space="preserve">The Delphic Oracle: Its Responses and Operations</w:t>
      </w:r>
      <w:r>
        <w:rPr>
          <w:rFonts w:ascii="EB Garamond" w:cs="EB Garamond" w:eastAsia="EB Garamond" w:hAnsi="EB Garamond"/>
          <w:i w:val="false"/>
          <w:iCs w:val="false"/>
          <w:color w:val="1F1B16"/>
          <w:sz w:val="20"/>
          <w:szCs w:val="20"/>
        </w:rPr>
        <w:t xml:space="preserve">. University of California Press.</w:t>
      </w:r>
    </w:p>
    <w:p>
      <w:pPr>
        <w:spacing w:after="80"/>
        <w:ind w:left="560" w:hanging="560"/>
      </w:pPr>
      <w:r>
        <w:rPr>
          <w:rFonts w:ascii="EB Garamond" w:cs="EB Garamond" w:eastAsia="EB Garamond" w:hAnsi="EB Garamond"/>
          <w:color w:val="1F1B16"/>
          <w:sz w:val="20"/>
          <w:szCs w:val="20"/>
        </w:rPr>
        <w:t xml:space="preserve">[79]	</w:t>
      </w:r>
      <w:r>
        <w:rPr>
          <w:rFonts w:ascii="EB Garamond" w:cs="EB Garamond" w:eastAsia="EB Garamond" w:hAnsi="EB Garamond"/>
          <w:i w:val="false"/>
          <w:iCs w:val="false"/>
          <w:color w:val="1F1B16"/>
          <w:sz w:val="20"/>
          <w:szCs w:val="20"/>
        </w:rPr>
        <w:t xml:space="preserve">Scott, M. (2014). </w:t>
      </w:r>
      <w:r>
        <w:rPr>
          <w:rFonts w:ascii="EB Garamond" w:cs="EB Garamond" w:eastAsia="EB Garamond" w:hAnsi="EB Garamond"/>
          <w:i/>
          <w:iCs/>
          <w:color w:val="1F1B16"/>
          <w:sz w:val="20"/>
          <w:szCs w:val="20"/>
        </w:rPr>
        <w:t xml:space="preserve">Delphi: A History of the Center of the Ancient World</w:t>
      </w:r>
      <w:r>
        <w:rPr>
          <w:rFonts w:ascii="EB Garamond" w:cs="EB Garamond" w:eastAsia="EB Garamond" w:hAnsi="EB Garamond"/>
          <w:i w:val="false"/>
          <w:iCs w:val="false"/>
          <w:color w:val="1F1B16"/>
          <w:sz w:val="20"/>
          <w:szCs w:val="20"/>
        </w:rPr>
        <w:t xml:space="preserve">. Princeton University Press.</w:t>
      </w:r>
    </w:p>
    <w:p>
      <w:pPr>
        <w:spacing w:after="80"/>
        <w:ind w:left="560" w:hanging="560"/>
      </w:pPr>
      <w:r>
        <w:rPr>
          <w:rFonts w:ascii="EB Garamond" w:cs="EB Garamond" w:eastAsia="EB Garamond" w:hAnsi="EB Garamond"/>
          <w:color w:val="1F1B16"/>
          <w:sz w:val="20"/>
          <w:szCs w:val="20"/>
        </w:rPr>
        <w:t xml:space="preserve">[80]	</w:t>
      </w:r>
      <w:r>
        <w:rPr>
          <w:rFonts w:ascii="EB Garamond" w:cs="EB Garamond" w:eastAsia="EB Garamond" w:hAnsi="EB Garamond"/>
          <w:i w:val="false"/>
          <w:iCs w:val="false"/>
          <w:color w:val="1F1B16"/>
          <w:sz w:val="20"/>
          <w:szCs w:val="20"/>
        </w:rPr>
        <w:t xml:space="preserve">Plutarch. </w:t>
      </w:r>
      <w:r>
        <w:rPr>
          <w:rFonts w:ascii="EB Garamond" w:cs="EB Garamond" w:eastAsia="EB Garamond" w:hAnsi="EB Garamond"/>
          <w:i/>
          <w:iCs/>
          <w:color w:val="1F1B16"/>
          <w:sz w:val="20"/>
          <w:szCs w:val="20"/>
        </w:rPr>
        <w:t xml:space="preserve">De defectu oraculorum</w:t>
      </w:r>
      <w:r>
        <w:rPr>
          <w:rFonts w:ascii="EB Garamond" w:cs="EB Garamond" w:eastAsia="EB Garamond" w:hAnsi="EB Garamond"/>
          <w:i w:val="false"/>
          <w:iCs w:val="false"/>
          <w:color w:val="1F1B16"/>
          <w:sz w:val="20"/>
          <w:szCs w:val="20"/>
        </w:rPr>
        <w:t xml:space="preserve"> (On the Obsolescence of Oracles), </w:t>
      </w:r>
      <w:r>
        <w:rPr>
          <w:rFonts w:ascii="EB Garamond" w:cs="EB Garamond" w:eastAsia="EB Garamond" w:hAnsi="EB Garamond"/>
          <w:i/>
          <w:iCs/>
          <w:color w:val="1F1B16"/>
          <w:sz w:val="20"/>
          <w:szCs w:val="20"/>
        </w:rPr>
        <w:t xml:space="preserve">Moralia</w:t>
      </w:r>
      <w:r>
        <w:rPr>
          <w:rFonts w:ascii="EB Garamond" w:cs="EB Garamond" w:eastAsia="EB Garamond" w:hAnsi="EB Garamond"/>
          <w:i w:val="false"/>
          <w:iCs w:val="false"/>
          <w:color w:val="1F1B16"/>
          <w:sz w:val="20"/>
          <w:szCs w:val="20"/>
        </w:rPr>
        <w:t xml:space="preserve"> 409E–438E (F. C. Babbitt, Trans., 1936). Loeb Classical Library.</w:t>
      </w:r>
    </w:p>
    <w:p>
      <w:pPr>
        <w:spacing w:after="80"/>
        <w:ind w:left="560" w:hanging="560"/>
      </w:pPr>
      <w:r>
        <w:rPr>
          <w:rFonts w:ascii="EB Garamond" w:cs="EB Garamond" w:eastAsia="EB Garamond" w:hAnsi="EB Garamond"/>
          <w:color w:val="1F1B16"/>
          <w:sz w:val="20"/>
          <w:szCs w:val="20"/>
        </w:rPr>
        <w:t xml:space="preserve">[81]	</w:t>
      </w:r>
      <w:r>
        <w:rPr>
          <w:rFonts w:ascii="EB Garamond" w:cs="EB Garamond" w:eastAsia="EB Garamond" w:hAnsi="EB Garamond"/>
          <w:i w:val="false"/>
          <w:iCs w:val="false"/>
          <w:color w:val="1F1B16"/>
          <w:sz w:val="20"/>
          <w:szCs w:val="20"/>
        </w:rPr>
        <w:t xml:space="preserve">Frawley, J. (2005). </w:t>
      </w:r>
      <w:r>
        <w:rPr>
          <w:rFonts w:ascii="EB Garamond" w:cs="EB Garamond" w:eastAsia="EB Garamond" w:hAnsi="EB Garamond"/>
          <w:i/>
          <w:iCs/>
          <w:color w:val="1F1B16"/>
          <w:sz w:val="20"/>
          <w:szCs w:val="20"/>
        </w:rPr>
        <w:t xml:space="preserve">The Horary Textbook</w:t>
      </w:r>
      <w:r>
        <w:rPr>
          <w:rFonts w:ascii="EB Garamond" w:cs="EB Garamond" w:eastAsia="EB Garamond" w:hAnsi="EB Garamond"/>
          <w:i w:val="false"/>
          <w:iCs w:val="false"/>
          <w:color w:val="1F1B16"/>
          <w:sz w:val="20"/>
          <w:szCs w:val="20"/>
        </w:rPr>
        <w:t xml:space="preserve">. Apprentice Books.</w:t>
      </w:r>
    </w:p>
    <w:p>
      <w:pPr>
        <w:spacing w:after="80"/>
        <w:ind w:left="560" w:hanging="560"/>
      </w:pPr>
      <w:r>
        <w:rPr>
          <w:rFonts w:ascii="EB Garamond" w:cs="EB Garamond" w:eastAsia="EB Garamond" w:hAnsi="EB Garamond"/>
          <w:color w:val="1F1B16"/>
          <w:sz w:val="20"/>
          <w:szCs w:val="20"/>
        </w:rPr>
        <w:t xml:space="preserve">[82]	</w:t>
      </w:r>
      <w:r>
        <w:rPr>
          <w:rFonts w:ascii="EB Garamond" w:cs="EB Garamond" w:eastAsia="EB Garamond" w:hAnsi="EB Garamond"/>
          <w:i w:val="false"/>
          <w:iCs w:val="false"/>
          <w:color w:val="1F1B16"/>
          <w:sz w:val="20"/>
          <w:szCs w:val="20"/>
        </w:rPr>
        <w:t xml:space="preserve">Hand, R. (1995). </w:t>
      </w:r>
      <w:r>
        <w:rPr>
          <w:rFonts w:ascii="EB Garamond" w:cs="EB Garamond" w:eastAsia="EB Garamond" w:hAnsi="EB Garamond"/>
          <w:i/>
          <w:iCs/>
          <w:color w:val="1F1B16"/>
          <w:sz w:val="20"/>
          <w:szCs w:val="20"/>
        </w:rPr>
        <w:t xml:space="preserve">Night &amp; Day: Planetary Sect in Astrology</w:t>
      </w:r>
      <w:r>
        <w:rPr>
          <w:rFonts w:ascii="EB Garamond" w:cs="EB Garamond" w:eastAsia="EB Garamond" w:hAnsi="EB Garamond"/>
          <w:i w:val="false"/>
          <w:iCs w:val="false"/>
          <w:color w:val="1F1B16"/>
          <w:sz w:val="20"/>
          <w:szCs w:val="20"/>
        </w:rPr>
        <w:t xml:space="preserve">. ARHAT Publications.</w:t>
      </w:r>
    </w:p>
    <w:p>
      <w:pPr>
        <w:spacing w:after="80"/>
        <w:ind w:left="560" w:hanging="560"/>
      </w:pPr>
      <w:r>
        <w:rPr>
          <w:rFonts w:ascii="EB Garamond" w:cs="EB Garamond" w:eastAsia="EB Garamond" w:hAnsi="EB Garamond"/>
          <w:color w:val="1F1B16"/>
          <w:sz w:val="20"/>
          <w:szCs w:val="20"/>
        </w:rPr>
        <w:t xml:space="preserve">[83]	</w:t>
      </w:r>
      <w:r>
        <w:rPr>
          <w:rFonts w:ascii="EB Garamond" w:cs="EB Garamond" w:eastAsia="EB Garamond" w:hAnsi="EB Garamond"/>
          <w:i w:val="false"/>
          <w:iCs w:val="false"/>
          <w:color w:val="1F1B16"/>
          <w:sz w:val="20"/>
          <w:szCs w:val="20"/>
        </w:rPr>
        <w:t xml:space="preserve">Vettius Valens. </w:t>
      </w:r>
      <w:r>
        <w:rPr>
          <w:rFonts w:ascii="EB Garamond" w:cs="EB Garamond" w:eastAsia="EB Garamond" w:hAnsi="EB Garamond"/>
          <w:i/>
          <w:iCs/>
          <w:color w:val="1F1B16"/>
          <w:sz w:val="20"/>
          <w:szCs w:val="20"/>
        </w:rPr>
        <w:t xml:space="preserve">Anthologies</w:t>
      </w:r>
      <w:r>
        <w:rPr>
          <w:rFonts w:ascii="EB Garamond" w:cs="EB Garamond" w:eastAsia="EB Garamond" w:hAnsi="EB Garamond"/>
          <w:i w:val="false"/>
          <w:iCs w:val="false"/>
          <w:color w:val="1F1B16"/>
          <w:sz w:val="20"/>
          <w:szCs w:val="20"/>
        </w:rPr>
        <w:t xml:space="preserve"> (M. Riley, Trans., 2010, online). Books I–II on sect and phase.</w:t>
      </w:r>
    </w:p>
    <w:p>
      <w:pPr>
        <w:spacing w:after="80"/>
        <w:ind w:left="560" w:hanging="560"/>
      </w:pPr>
      <w:r>
        <w:rPr>
          <w:rFonts w:ascii="EB Garamond" w:cs="EB Garamond" w:eastAsia="EB Garamond" w:hAnsi="EB Garamond"/>
          <w:color w:val="1F1B16"/>
          <w:sz w:val="20"/>
          <w:szCs w:val="20"/>
        </w:rPr>
        <w:t xml:space="preserve">[84]	</w:t>
      </w:r>
      <w:r>
        <w:rPr>
          <w:rFonts w:ascii="EB Garamond" w:cs="EB Garamond" w:eastAsia="EB Garamond" w:hAnsi="EB Garamond"/>
          <w:i w:val="false"/>
          <w:iCs w:val="false"/>
          <w:color w:val="1F1B16"/>
          <w:sz w:val="20"/>
          <w:szCs w:val="20"/>
        </w:rPr>
        <w:t xml:space="preserve">NASA Goddard Space Flight Center. </w:t>
      </w:r>
      <w:r>
        <w:rPr>
          <w:rFonts w:ascii="EB Garamond" w:cs="EB Garamond" w:eastAsia="EB Garamond" w:hAnsi="EB Garamond"/>
          <w:i/>
          <w:iCs/>
          <w:color w:val="1F1B16"/>
          <w:sz w:val="20"/>
          <w:szCs w:val="20"/>
        </w:rPr>
        <w:t xml:space="preserve">Moon Fact Sheet</w:t>
      </w:r>
      <w:r>
        <w:rPr>
          <w:rFonts w:ascii="EB Garamond" w:cs="EB Garamond" w:eastAsia="EB Garamond" w:hAnsi="EB Garamond"/>
          <w:i w:val="false"/>
          <w:iCs w:val="false"/>
          <w:color w:val="1F1B16"/>
          <w:sz w:val="20"/>
          <w:szCs w:val="20"/>
        </w:rPr>
        <w:t xml:space="preserve">. Orbital inclination to ecliptic 5.145°. nssdc.gsfc.nasa.gov/planetary/factsheet/moonfact.html</w:t>
      </w:r>
    </w:p>
    <w:p>
      <w:pPr>
        <w:spacing w:after="80"/>
        <w:ind w:left="560" w:hanging="560"/>
      </w:pPr>
      <w:r>
        <w:rPr>
          <w:rFonts w:ascii="EB Garamond" w:cs="EB Garamond" w:eastAsia="EB Garamond" w:hAnsi="EB Garamond"/>
          <w:color w:val="1F1B16"/>
          <w:sz w:val="20"/>
          <w:szCs w:val="20"/>
        </w:rPr>
        <w:t xml:space="preserve">[85]	</w:t>
      </w:r>
      <w:r>
        <w:rPr>
          <w:rFonts w:ascii="EB Garamond" w:cs="EB Garamond" w:eastAsia="EB Garamond" w:hAnsi="EB Garamond"/>
          <w:i w:val="false"/>
          <w:iCs w:val="false"/>
          <w:color w:val="1F1B16"/>
          <w:sz w:val="20"/>
          <w:szCs w:val="20"/>
        </w:rPr>
        <w:t xml:space="preserve">Rudhyar, D. (1936). </w:t>
      </w:r>
      <w:r>
        <w:rPr>
          <w:rFonts w:ascii="EB Garamond" w:cs="EB Garamond" w:eastAsia="EB Garamond" w:hAnsi="EB Garamond"/>
          <w:i/>
          <w:iCs/>
          <w:color w:val="1F1B16"/>
          <w:sz w:val="20"/>
          <w:szCs w:val="20"/>
        </w:rPr>
        <w:t xml:space="preserve">The Astrology of Personality</w:t>
      </w:r>
      <w:r>
        <w:rPr>
          <w:rFonts w:ascii="EB Garamond" w:cs="EB Garamond" w:eastAsia="EB Garamond" w:hAnsi="EB Garamond"/>
          <w:i w:val="false"/>
          <w:iCs w:val="false"/>
          <w:color w:val="1F1B16"/>
          <w:sz w:val="20"/>
          <w:szCs w:val="20"/>
        </w:rPr>
        <w:t xml:space="preserve">. Lucis. (Lunar nodes; bendings.)</w:t>
      </w:r>
    </w:p>
    <w:p>
      <w:pPr>
        <w:spacing w:after="80"/>
        <w:ind w:left="560" w:hanging="560"/>
      </w:pPr>
      <w:r>
        <w:rPr>
          <w:rFonts w:ascii="EB Garamond" w:cs="EB Garamond" w:eastAsia="EB Garamond" w:hAnsi="EB Garamond"/>
          <w:color w:val="1F1B16"/>
          <w:sz w:val="20"/>
          <w:szCs w:val="20"/>
        </w:rPr>
        <w:t xml:space="preserve">[86]	</w:t>
      </w:r>
      <w:r>
        <w:rPr>
          <w:rFonts w:ascii="EB Garamond" w:cs="EB Garamond" w:eastAsia="EB Garamond" w:hAnsi="EB Garamond"/>
          <w:i/>
          <w:iCs/>
          <w:color w:val="1F1B16"/>
          <w:sz w:val="20"/>
          <w:szCs w:val="20"/>
        </w:rPr>
        <w:t xml:space="preserve">The Apocryphon of John</w:t>
      </w:r>
      <w:r>
        <w:rPr>
          <w:rFonts w:ascii="EB Garamond" w:cs="EB Garamond" w:eastAsia="EB Garamond" w:hAnsi="EB Garamond"/>
          <w:i w:val="false"/>
          <w:iCs w:val="false"/>
          <w:color w:val="1F1B16"/>
          <w:sz w:val="20"/>
          <w:szCs w:val="20"/>
        </w:rPr>
        <w:t xml:space="preserve"> (NHC II,1). In J. M. Robinson (Ed.), </w:t>
      </w:r>
      <w:r>
        <w:rPr>
          <w:rFonts w:ascii="EB Garamond" w:cs="EB Garamond" w:eastAsia="EB Garamond" w:hAnsi="EB Garamond"/>
          <w:i/>
          <w:iCs/>
          <w:color w:val="1F1B16"/>
          <w:sz w:val="20"/>
          <w:szCs w:val="20"/>
        </w:rPr>
        <w:t xml:space="preserve">The Nag Hammadi Library in English</w:t>
      </w:r>
      <w:r>
        <w:rPr>
          <w:rFonts w:ascii="EB Garamond" w:cs="EB Garamond" w:eastAsia="EB Garamond" w:hAnsi="EB Garamond"/>
          <w:i w:val="false"/>
          <w:iCs w:val="false"/>
          <w:color w:val="1F1B16"/>
          <w:sz w:val="20"/>
          <w:szCs w:val="20"/>
        </w:rPr>
        <w:t xml:space="preserve"> (3rd ed., 1988). HarperSanFrancisco.</w:t>
      </w:r>
    </w:p>
    <w:p>
      <w:pPr>
        <w:spacing w:after="80"/>
        <w:ind w:left="560" w:hanging="560"/>
      </w:pPr>
      <w:r>
        <w:rPr>
          <w:rFonts w:ascii="EB Garamond" w:cs="EB Garamond" w:eastAsia="EB Garamond" w:hAnsi="EB Garamond"/>
          <w:color w:val="1F1B16"/>
          <w:sz w:val="20"/>
          <w:szCs w:val="20"/>
        </w:rPr>
        <w:t xml:space="preserve">[87]	</w:t>
      </w:r>
      <w:r>
        <w:rPr>
          <w:rFonts w:ascii="EB Garamond" w:cs="EB Garamond" w:eastAsia="EB Garamond" w:hAnsi="EB Garamond"/>
          <w:i/>
          <w:iCs/>
          <w:color w:val="1F1B16"/>
          <w:sz w:val="20"/>
          <w:szCs w:val="20"/>
        </w:rPr>
        <w:t xml:space="preserve">The Hypostasis of the Archons</w:t>
      </w:r>
      <w:r>
        <w:rPr>
          <w:rFonts w:ascii="EB Garamond" w:cs="EB Garamond" w:eastAsia="EB Garamond" w:hAnsi="EB Garamond"/>
          <w:i w:val="false"/>
          <w:iCs w:val="false"/>
          <w:color w:val="1F1B16"/>
          <w:sz w:val="20"/>
          <w:szCs w:val="20"/>
        </w:rPr>
        <w:t xml:space="preserve"> (NHC II,4), §89. In Robinson (Ed.), </w:t>
      </w:r>
      <w:r>
        <w:rPr>
          <w:rFonts w:ascii="EB Garamond" w:cs="EB Garamond" w:eastAsia="EB Garamond" w:hAnsi="EB Garamond"/>
          <w:i/>
          <w:iCs/>
          <w:color w:val="1F1B16"/>
          <w:sz w:val="20"/>
          <w:szCs w:val="20"/>
        </w:rPr>
        <w:t xml:space="preserve">The Nag Hammadi Library in English</w:t>
      </w:r>
      <w:r>
        <w:rPr>
          <w:rFonts w:ascii="EB Garamond" w:cs="EB Garamond" w:eastAsia="EB Garamond" w:hAnsi="EB Garamond"/>
          <w:i w:val="false"/>
          <w:iCs w:val="false"/>
          <w:color w:val="1F1B16"/>
          <w:sz w:val="20"/>
          <w:szCs w:val="20"/>
        </w:rPr>
        <w:t xml:space="preserve"> (1988).</w:t>
      </w:r>
    </w:p>
    <w:p>
      <w:pPr>
        <w:spacing w:after="80"/>
        <w:ind w:left="560" w:hanging="560"/>
      </w:pPr>
      <w:r>
        <w:rPr>
          <w:rFonts w:ascii="EB Garamond" w:cs="EB Garamond" w:eastAsia="EB Garamond" w:hAnsi="EB Garamond"/>
          <w:color w:val="1F1B16"/>
          <w:sz w:val="20"/>
          <w:szCs w:val="20"/>
        </w:rPr>
        <w:t xml:space="preserve">[88]	</w:t>
      </w:r>
      <w:r>
        <w:rPr>
          <w:rFonts w:ascii="EB Garamond" w:cs="EB Garamond" w:eastAsia="EB Garamond" w:hAnsi="EB Garamond"/>
          <w:i/>
          <w:iCs/>
          <w:color w:val="1F1B16"/>
          <w:sz w:val="20"/>
          <w:szCs w:val="20"/>
        </w:rPr>
        <w:t xml:space="preserve">The Thunder, Perfect Mind</w:t>
      </w:r>
      <w:r>
        <w:rPr>
          <w:rFonts w:ascii="EB Garamond" w:cs="EB Garamond" w:eastAsia="EB Garamond" w:hAnsi="EB Garamond"/>
          <w:i w:val="false"/>
          <w:iCs w:val="false"/>
          <w:color w:val="1F1B16"/>
          <w:sz w:val="20"/>
          <w:szCs w:val="20"/>
        </w:rPr>
        <w:t xml:space="preserve"> (NHC VI,2). In Robinson (Ed.), </w:t>
      </w:r>
      <w:r>
        <w:rPr>
          <w:rFonts w:ascii="EB Garamond" w:cs="EB Garamond" w:eastAsia="EB Garamond" w:hAnsi="EB Garamond"/>
          <w:i/>
          <w:iCs/>
          <w:color w:val="1F1B16"/>
          <w:sz w:val="20"/>
          <w:szCs w:val="20"/>
        </w:rPr>
        <w:t xml:space="preserve">The Nag Hammadi Library in English</w:t>
      </w:r>
      <w:r>
        <w:rPr>
          <w:rFonts w:ascii="EB Garamond" w:cs="EB Garamond" w:eastAsia="EB Garamond" w:hAnsi="EB Garamond"/>
          <w:i w:val="false"/>
          <w:iCs w:val="false"/>
          <w:color w:val="1F1B16"/>
          <w:sz w:val="20"/>
          <w:szCs w:val="20"/>
        </w:rPr>
        <w:t xml:space="preserve"> (1988).</w:t>
      </w:r>
    </w:p>
    <w:p>
      <w:pPr>
        <w:spacing w:after="80"/>
        <w:ind w:left="560" w:hanging="560"/>
      </w:pPr>
      <w:r>
        <w:rPr>
          <w:rFonts w:ascii="EB Garamond" w:cs="EB Garamond" w:eastAsia="EB Garamond" w:hAnsi="EB Garamond"/>
          <w:color w:val="1F1B16"/>
          <w:sz w:val="20"/>
          <w:szCs w:val="20"/>
        </w:rPr>
        <w:t xml:space="preserve">[89]	</w:t>
      </w:r>
      <w:r>
        <w:rPr>
          <w:rFonts w:ascii="EB Garamond" w:cs="EB Garamond" w:eastAsia="EB Garamond" w:hAnsi="EB Garamond"/>
          <w:i w:val="false"/>
          <w:iCs w:val="false"/>
          <w:color w:val="1F1B16"/>
          <w:sz w:val="20"/>
          <w:szCs w:val="20"/>
        </w:rPr>
        <w:t xml:space="preserve">Lucian. </w:t>
      </w:r>
      <w:r>
        <w:rPr>
          <w:rFonts w:ascii="EB Garamond" w:cs="EB Garamond" w:eastAsia="EB Garamond" w:hAnsi="EB Garamond"/>
          <w:i/>
          <w:iCs/>
          <w:color w:val="1F1B16"/>
          <w:sz w:val="20"/>
          <w:szCs w:val="20"/>
        </w:rPr>
        <w:t xml:space="preserve">Philopseudes</w:t>
      </w:r>
      <w:r>
        <w:rPr>
          <w:rFonts w:ascii="EB Garamond" w:cs="EB Garamond" w:eastAsia="EB Garamond" w:hAnsi="EB Garamond"/>
          <w:i w:val="false"/>
          <w:iCs w:val="false"/>
          <w:color w:val="1F1B16"/>
          <w:sz w:val="20"/>
          <w:szCs w:val="20"/>
        </w:rPr>
        <w:t xml:space="preserve"> (The Lover of Lies), §§33–36 (A. M. Harmon, Trans., 1921). Loeb Classical Library.</w:t>
      </w:r>
    </w:p>
    <w:p>
      <w:pPr>
        <w:spacing w:after="80"/>
        <w:ind w:left="560" w:hanging="560"/>
      </w:pPr>
      <w:r>
        <w:rPr>
          <w:rFonts w:ascii="EB Garamond" w:cs="EB Garamond" w:eastAsia="EB Garamond" w:hAnsi="EB Garamond"/>
          <w:color w:val="1F1B16"/>
          <w:sz w:val="20"/>
          <w:szCs w:val="20"/>
        </w:rPr>
        <w:t xml:space="preserve">[90]	</w:t>
      </w:r>
      <w:r>
        <w:rPr>
          <w:rFonts w:ascii="EB Garamond" w:cs="EB Garamond" w:eastAsia="EB Garamond" w:hAnsi="EB Garamond"/>
          <w:i w:val="false"/>
          <w:iCs w:val="false"/>
          <w:color w:val="1F1B16"/>
          <w:sz w:val="20"/>
          <w:szCs w:val="20"/>
        </w:rPr>
        <w:t xml:space="preserve">Goethe, J. W. von (1797). Der Zauberlehrling. In </w:t>
      </w:r>
      <w:r>
        <w:rPr>
          <w:rFonts w:ascii="EB Garamond" w:cs="EB Garamond" w:eastAsia="EB Garamond" w:hAnsi="EB Garamond"/>
          <w:i/>
          <w:iCs/>
          <w:color w:val="1F1B16"/>
          <w:sz w:val="20"/>
          <w:szCs w:val="20"/>
        </w:rPr>
        <w:t xml:space="preserve">Musen-Almanach für das Jahr 1798</w:t>
      </w:r>
      <w:r>
        <w:rPr>
          <w:rFonts w:ascii="EB Garamond" w:cs="EB Garamond" w:eastAsia="EB Garamond" w:hAnsi="EB Garamond"/>
          <w:i w:val="false"/>
          <w:iCs w:val="false"/>
          <w:color w:val="1F1B16"/>
          <w:sz w:val="20"/>
          <w:szCs w:val="20"/>
        </w:rPr>
        <w:t xml:space="preserve">.</w:t>
      </w:r>
    </w:p>
    <w:p>
      <w:pPr>
        <w:spacing w:after="80"/>
        <w:ind w:left="560" w:hanging="560"/>
      </w:pPr>
      <w:r>
        <w:rPr>
          <w:rFonts w:ascii="EB Garamond" w:cs="EB Garamond" w:eastAsia="EB Garamond" w:hAnsi="EB Garamond"/>
          <w:color w:val="1F1B16"/>
          <w:sz w:val="20"/>
          <w:szCs w:val="20"/>
        </w:rPr>
        <w:t xml:space="preserve">[91]	</w:t>
      </w:r>
      <w:r>
        <w:rPr>
          <w:rFonts w:ascii="EB Garamond" w:cs="EB Garamond" w:eastAsia="EB Garamond" w:hAnsi="EB Garamond"/>
          <w:i w:val="false"/>
          <w:iCs w:val="false"/>
          <w:color w:val="1F1B16"/>
          <w:sz w:val="20"/>
          <w:szCs w:val="20"/>
        </w:rPr>
        <w:t xml:space="preserve">Esteves, F., Parra, C., Dimberg, U., &amp; Öhman, A. (1994). Nonconscious associative learning: Pavlovian conditioning of skin conductance responses to masked fear-relevant facial stimuli. </w:t>
      </w:r>
      <w:r>
        <w:rPr>
          <w:rFonts w:ascii="EB Garamond" w:cs="EB Garamond" w:eastAsia="EB Garamond" w:hAnsi="EB Garamond"/>
          <w:i/>
          <w:iCs/>
          <w:color w:val="1F1B16"/>
          <w:sz w:val="20"/>
          <w:szCs w:val="20"/>
        </w:rPr>
        <w:t xml:space="preserve">Psychophysiology</w:t>
      </w:r>
      <w:r>
        <w:rPr>
          <w:rFonts w:ascii="EB Garamond" w:cs="EB Garamond" w:eastAsia="EB Garamond" w:hAnsi="EB Garamond"/>
          <w:i w:val="false"/>
          <w:iCs w:val="false"/>
          <w:color w:val="1F1B16"/>
          <w:sz w:val="20"/>
          <w:szCs w:val="20"/>
        </w:rPr>
        <w:t xml:space="preserve">, 31(4), 375–385.</w:t>
      </w:r>
    </w:p>
    <w:p>
      <w:pPr>
        <w:spacing w:after="80"/>
        <w:ind w:left="560" w:hanging="560"/>
      </w:pPr>
      <w:r>
        <w:rPr>
          <w:rFonts w:ascii="EB Garamond" w:cs="EB Garamond" w:eastAsia="EB Garamond" w:hAnsi="EB Garamond"/>
          <w:color w:val="1F1B16"/>
          <w:sz w:val="20"/>
          <w:szCs w:val="20"/>
        </w:rPr>
        <w:t xml:space="preserve">[92]	</w:t>
      </w:r>
      <w:r>
        <w:rPr>
          <w:rFonts w:ascii="EB Garamond" w:cs="EB Garamond" w:eastAsia="EB Garamond" w:hAnsi="EB Garamond"/>
          <w:i w:val="false"/>
          <w:iCs w:val="false"/>
          <w:color w:val="1F1B16"/>
          <w:sz w:val="20"/>
          <w:szCs w:val="20"/>
        </w:rPr>
        <w:t xml:space="preserve">Freeman, J. B., Stolier, R. M., Ingbretsen, Z. A., &amp; Hehman, E. A. (2014). Amygdala responsivity to high-level social information from unseen faces. </w:t>
      </w:r>
      <w:r>
        <w:rPr>
          <w:rFonts w:ascii="EB Garamond" w:cs="EB Garamond" w:eastAsia="EB Garamond" w:hAnsi="EB Garamond"/>
          <w:i/>
          <w:iCs/>
          <w:color w:val="1F1B16"/>
          <w:sz w:val="20"/>
          <w:szCs w:val="20"/>
        </w:rPr>
        <w:t xml:space="preserve">Journal of Neuroscience</w:t>
      </w:r>
      <w:r>
        <w:rPr>
          <w:rFonts w:ascii="EB Garamond" w:cs="EB Garamond" w:eastAsia="EB Garamond" w:hAnsi="EB Garamond"/>
          <w:i w:val="false"/>
          <w:iCs w:val="false"/>
          <w:color w:val="1F1B16"/>
          <w:sz w:val="20"/>
          <w:szCs w:val="20"/>
        </w:rPr>
        <w:t xml:space="preserve">, 34(32), 10573–10581.</w:t>
      </w:r>
    </w:p>
    <w:p>
      <w:pPr>
        <w:spacing w:after="80"/>
        <w:ind w:left="560" w:hanging="560"/>
      </w:pPr>
      <w:r>
        <w:rPr>
          <w:rFonts w:ascii="EB Garamond" w:cs="EB Garamond" w:eastAsia="EB Garamond" w:hAnsi="EB Garamond"/>
          <w:color w:val="1F1B16"/>
          <w:sz w:val="20"/>
          <w:szCs w:val="20"/>
        </w:rPr>
        <w:t xml:space="preserve">[93]	</w:t>
      </w:r>
      <w:r>
        <w:rPr>
          <w:rFonts w:ascii="EB Garamond" w:cs="EB Garamond" w:eastAsia="EB Garamond" w:hAnsi="EB Garamond"/>
          <w:i w:val="false"/>
          <w:iCs w:val="false"/>
          <w:color w:val="1F1B16"/>
          <w:sz w:val="20"/>
          <w:szCs w:val="20"/>
        </w:rPr>
        <w:t xml:space="preserve">Liddell, B. J., Brown, K. J., Kemp, A. H., et al. (2005). A direct brainstem–amygdala–cortical 'alarm' system for subliminal signals of fear. </w:t>
      </w:r>
      <w:r>
        <w:rPr>
          <w:rFonts w:ascii="EB Garamond" w:cs="EB Garamond" w:eastAsia="EB Garamond" w:hAnsi="EB Garamond"/>
          <w:i/>
          <w:iCs/>
          <w:color w:val="1F1B16"/>
          <w:sz w:val="20"/>
          <w:szCs w:val="20"/>
        </w:rPr>
        <w:t xml:space="preserve">NeuroImage</w:t>
      </w:r>
      <w:r>
        <w:rPr>
          <w:rFonts w:ascii="EB Garamond" w:cs="EB Garamond" w:eastAsia="EB Garamond" w:hAnsi="EB Garamond"/>
          <w:i w:val="false"/>
          <w:iCs w:val="false"/>
          <w:color w:val="1F1B16"/>
          <w:sz w:val="20"/>
          <w:szCs w:val="20"/>
        </w:rPr>
        <w:t xml:space="preserve">, 24(1), 235–243.</w:t>
      </w:r>
    </w:p>
    <w:p>
      <w:pPr>
        <w:spacing w:after="80"/>
        <w:ind w:left="560" w:hanging="560"/>
      </w:pPr>
      <w:r>
        <w:rPr>
          <w:rFonts w:ascii="EB Garamond" w:cs="EB Garamond" w:eastAsia="EB Garamond" w:hAnsi="EB Garamond"/>
          <w:color w:val="1F1B16"/>
          <w:sz w:val="20"/>
          <w:szCs w:val="20"/>
        </w:rPr>
        <w:t xml:space="preserve">[94]	</w:t>
      </w:r>
      <w:r>
        <w:rPr>
          <w:rFonts w:ascii="EB Garamond" w:cs="EB Garamond" w:eastAsia="EB Garamond" w:hAnsi="EB Garamond"/>
          <w:i w:val="false"/>
          <w:iCs w:val="false"/>
          <w:color w:val="1F1B16"/>
          <w:sz w:val="20"/>
          <w:szCs w:val="20"/>
        </w:rPr>
        <w:t xml:space="preserve">LeDoux, J. (1996). </w:t>
      </w:r>
      <w:r>
        <w:rPr>
          <w:rFonts w:ascii="EB Garamond" w:cs="EB Garamond" w:eastAsia="EB Garamond" w:hAnsi="EB Garamond"/>
          <w:i/>
          <w:iCs/>
          <w:color w:val="1F1B16"/>
          <w:sz w:val="20"/>
          <w:szCs w:val="20"/>
        </w:rPr>
        <w:t xml:space="preserve">The Emotional Brain</w:t>
      </w:r>
      <w:r>
        <w:rPr>
          <w:rFonts w:ascii="EB Garamond" w:cs="EB Garamond" w:eastAsia="EB Garamond" w:hAnsi="EB Garamond"/>
          <w:i w:val="false"/>
          <w:iCs w:val="false"/>
          <w:color w:val="1F1B16"/>
          <w:sz w:val="20"/>
          <w:szCs w:val="20"/>
        </w:rPr>
        <w:t xml:space="preserve">. Simon &amp; Schuster. (Thalamo-amygdala 'low road'.)</w:t>
      </w:r>
    </w:p>
    <w:p>
      <w:pPr>
        <w:spacing w:after="80"/>
        <w:ind w:left="560" w:hanging="560"/>
      </w:pPr>
      <w:r>
        <w:rPr>
          <w:rFonts w:ascii="EB Garamond" w:cs="EB Garamond" w:eastAsia="EB Garamond" w:hAnsi="EB Garamond"/>
          <w:color w:val="1F1B16"/>
          <w:sz w:val="20"/>
          <w:szCs w:val="20"/>
        </w:rPr>
        <w:t xml:space="preserve">[95]	</w:t>
      </w:r>
      <w:r>
        <w:rPr>
          <w:rFonts w:ascii="EB Garamond" w:cs="EB Garamond" w:eastAsia="EB Garamond" w:hAnsi="EB Garamond"/>
          <w:i w:val="false"/>
          <w:iCs w:val="false"/>
          <w:color w:val="1F1B16"/>
          <w:sz w:val="20"/>
          <w:szCs w:val="20"/>
        </w:rPr>
        <w:t xml:space="preserve">Dahlén, A. D., Schofield, A., Schiöth, H. B., &amp; Brooks, S. J. (2022). Subliminal emotional faces elicit predominantly right-lateralized amygdala activation: A systematic meta-analysis of fMRI studies. </w:t>
      </w:r>
      <w:r>
        <w:rPr>
          <w:rFonts w:ascii="EB Garamond" w:cs="EB Garamond" w:eastAsia="EB Garamond" w:hAnsi="EB Garamond"/>
          <w:i/>
          <w:iCs/>
          <w:color w:val="1F1B16"/>
          <w:sz w:val="20"/>
          <w:szCs w:val="20"/>
        </w:rPr>
        <w:t xml:space="preserve">Frontiers in Neuroscience</w:t>
      </w:r>
      <w:r>
        <w:rPr>
          <w:rFonts w:ascii="EB Garamond" w:cs="EB Garamond" w:eastAsia="EB Garamond" w:hAnsi="EB Garamond"/>
          <w:i w:val="false"/>
          <w:iCs w:val="false"/>
          <w:color w:val="1F1B16"/>
          <w:sz w:val="20"/>
          <w:szCs w:val="20"/>
        </w:rPr>
        <w:t xml:space="preserve">, 16, 868366.</w:t>
      </w:r>
    </w:p>
    <w:p>
      <w:pPr>
        <w:spacing w:after="80"/>
        <w:ind w:left="560" w:hanging="560"/>
      </w:pPr>
      <w:r>
        <w:rPr>
          <w:rFonts w:ascii="EB Garamond" w:cs="EB Garamond" w:eastAsia="EB Garamond" w:hAnsi="EB Garamond"/>
          <w:color w:val="1F1B16"/>
          <w:sz w:val="20"/>
          <w:szCs w:val="20"/>
        </w:rPr>
        <w:t xml:space="preserve">[96]	</w:t>
      </w:r>
      <w:r>
        <w:rPr>
          <w:rFonts w:ascii="EB Garamond" w:cs="EB Garamond" w:eastAsia="EB Garamond" w:hAnsi="EB Garamond"/>
          <w:i w:val="false"/>
          <w:iCs w:val="false"/>
          <w:color w:val="1F1B16"/>
          <w:sz w:val="20"/>
          <w:szCs w:val="20"/>
        </w:rPr>
        <w:t xml:space="preserve">Vokey, J. R., &amp; Read, J. D. (1985). Subliminal messages: Between the devil and the media. </w:t>
      </w:r>
      <w:r>
        <w:rPr>
          <w:rFonts w:ascii="EB Garamond" w:cs="EB Garamond" w:eastAsia="EB Garamond" w:hAnsi="EB Garamond"/>
          <w:i/>
          <w:iCs/>
          <w:color w:val="1F1B16"/>
          <w:sz w:val="20"/>
          <w:szCs w:val="20"/>
        </w:rPr>
        <w:t xml:space="preserve">American Psychologist</w:t>
      </w:r>
      <w:r>
        <w:rPr>
          <w:rFonts w:ascii="EB Garamond" w:cs="EB Garamond" w:eastAsia="EB Garamond" w:hAnsi="EB Garamond"/>
          <w:i w:val="false"/>
          <w:iCs w:val="false"/>
          <w:color w:val="1F1B16"/>
          <w:sz w:val="20"/>
          <w:szCs w:val="20"/>
        </w:rPr>
        <w:t xml:space="preserve">, 40(11), 1231–1239. (Reversed speech is not decoded.)</w:t>
      </w:r>
    </w:p>
    <w:p>
      <w:pPr>
        <w:spacing w:after="80"/>
        <w:ind w:left="560" w:hanging="560"/>
      </w:pPr>
      <w:r>
        <w:rPr>
          <w:rFonts w:ascii="EB Garamond" w:cs="EB Garamond" w:eastAsia="EB Garamond" w:hAnsi="EB Garamond"/>
          <w:color w:val="1F1B16"/>
          <w:sz w:val="20"/>
          <w:szCs w:val="20"/>
        </w:rPr>
        <w:t xml:space="preserve">[97]	</w:t>
      </w:r>
      <w:r>
        <w:rPr>
          <w:rFonts w:ascii="EB Garamond" w:cs="EB Garamond" w:eastAsia="EB Garamond" w:hAnsi="EB Garamond"/>
          <w:i w:val="false"/>
          <w:iCs w:val="false"/>
          <w:color w:val="1F1B16"/>
          <w:sz w:val="20"/>
          <w:szCs w:val="20"/>
        </w:rPr>
        <w:t xml:space="preserve">Spare, A. O. (1913). </w:t>
      </w:r>
      <w:r>
        <w:rPr>
          <w:rFonts w:ascii="EB Garamond" w:cs="EB Garamond" w:eastAsia="EB Garamond" w:hAnsi="EB Garamond"/>
          <w:i/>
          <w:iCs/>
          <w:color w:val="1F1B16"/>
          <w:sz w:val="20"/>
          <w:szCs w:val="20"/>
        </w:rPr>
        <w:t xml:space="preserve">The Book of Pleasure (Self-Love): The Psychology of Ecstasy</w:t>
      </w:r>
      <w:r>
        <w:rPr>
          <w:rFonts w:ascii="EB Garamond" w:cs="EB Garamond" w:eastAsia="EB Garamond" w:hAnsi="EB Garamond"/>
          <w:i w:val="false"/>
          <w:iCs w:val="false"/>
          <w:color w:val="1F1B16"/>
          <w:sz w:val="20"/>
          <w:szCs w:val="20"/>
        </w:rPr>
        <w:t xml:space="preserve">. London. (Sigil method.)</w:t>
      </w:r>
    </w:p>
    <w:p>
      <w:pPr>
        <w:spacing w:after="80"/>
        <w:ind w:left="560" w:hanging="560"/>
      </w:pPr>
      <w:r>
        <w:rPr>
          <w:rFonts w:ascii="EB Garamond" w:cs="EB Garamond" w:eastAsia="EB Garamond" w:hAnsi="EB Garamond"/>
          <w:color w:val="1F1B16"/>
          <w:sz w:val="20"/>
          <w:szCs w:val="20"/>
        </w:rPr>
        <w:t xml:space="preserve">[98]	</w:t>
      </w:r>
      <w:r>
        <w:rPr>
          <w:rFonts w:ascii="EB Garamond" w:cs="EB Garamond" w:eastAsia="EB Garamond" w:hAnsi="EB Garamond"/>
          <w:i/>
          <w:iCs/>
          <w:color w:val="1F1B16"/>
          <w:sz w:val="20"/>
          <w:szCs w:val="20"/>
        </w:rPr>
        <w:t xml:space="preserve">Picatrix</w:t>
      </w:r>
      <w:r>
        <w:rPr>
          <w:rFonts w:ascii="EB Garamond" w:cs="EB Garamond" w:eastAsia="EB Garamond" w:hAnsi="EB Garamond"/>
          <w:i w:val="false"/>
          <w:iCs w:val="false"/>
          <w:color w:val="1F1B16"/>
          <w:sz w:val="20"/>
          <w:szCs w:val="20"/>
        </w:rPr>
        <w:t xml:space="preserve"> (Ghāyat al-Ḥakīm) (J. M. Greer &amp; C. Warnock, Trans., 2010). Adocentyn Press. (Talismanic elections.)</w:t>
      </w:r>
    </w:p>
    <w:p>
      <w:pPr>
        <w:spacing w:after="80"/>
        <w:ind w:left="560" w:hanging="560"/>
      </w:pPr>
      <w:r>
        <w:rPr>
          <w:rFonts w:ascii="EB Garamond" w:cs="EB Garamond" w:eastAsia="EB Garamond" w:hAnsi="EB Garamond"/>
          <w:color w:val="1F1B16"/>
          <w:sz w:val="20"/>
          <w:szCs w:val="20"/>
        </w:rPr>
        <w:t xml:space="preserve">[99]	</w:t>
      </w:r>
      <w:r>
        <w:rPr>
          <w:rFonts w:ascii="EB Garamond" w:cs="EB Garamond" w:eastAsia="EB Garamond" w:hAnsi="EB Garamond"/>
          <w:i w:val="false"/>
          <w:iCs w:val="false"/>
          <w:color w:val="1F1B16"/>
          <w:sz w:val="20"/>
          <w:szCs w:val="20"/>
        </w:rPr>
        <w:t xml:space="preserve">Ficino, M. (1489). </w:t>
      </w:r>
      <w:r>
        <w:rPr>
          <w:rFonts w:ascii="EB Garamond" w:cs="EB Garamond" w:eastAsia="EB Garamond" w:hAnsi="EB Garamond"/>
          <w:i/>
          <w:iCs/>
          <w:color w:val="1F1B16"/>
          <w:sz w:val="20"/>
          <w:szCs w:val="20"/>
        </w:rPr>
        <w:t xml:space="preserve">De vita libri tres</w:t>
      </w:r>
      <w:r>
        <w:rPr>
          <w:rFonts w:ascii="EB Garamond" w:cs="EB Garamond" w:eastAsia="EB Garamond" w:hAnsi="EB Garamond"/>
          <w:i w:val="false"/>
          <w:iCs w:val="false"/>
          <w:color w:val="1F1B16"/>
          <w:sz w:val="20"/>
          <w:szCs w:val="20"/>
        </w:rPr>
        <w:t xml:space="preserve">, Book III: De vita coelitus comparanda (C. V. Kaske &amp; J. R. Clark, Eds. &amp; Trans., 1989). MRTS.</w:t>
      </w:r>
    </w:p>
    <w:p>
      <w:pPr>
        <w:spacing w:after="80"/>
        <w:ind w:left="560" w:hanging="560"/>
      </w:pPr>
      <w:r>
        <w:rPr>
          <w:rFonts w:ascii="EB Garamond" w:cs="EB Garamond" w:eastAsia="EB Garamond" w:hAnsi="EB Garamond"/>
          <w:color w:val="1F1B16"/>
          <w:sz w:val="20"/>
          <w:szCs w:val="20"/>
        </w:rPr>
        <w:t xml:space="preserve">[100]	</w:t>
      </w:r>
      <w:r>
        <w:rPr>
          <w:rFonts w:ascii="EB Garamond" w:cs="EB Garamond" w:eastAsia="EB Garamond" w:hAnsi="EB Garamond"/>
          <w:i w:val="false"/>
          <w:iCs w:val="false"/>
          <w:color w:val="1F1B16"/>
          <w:sz w:val="20"/>
          <w:szCs w:val="20"/>
        </w:rPr>
        <w:t xml:space="preserve">Agrippa, H. C. (1533). </w:t>
      </w:r>
      <w:r>
        <w:rPr>
          <w:rFonts w:ascii="EB Garamond" w:cs="EB Garamond" w:eastAsia="EB Garamond" w:hAnsi="EB Garamond"/>
          <w:i/>
          <w:iCs/>
          <w:color w:val="1F1B16"/>
          <w:sz w:val="20"/>
          <w:szCs w:val="20"/>
        </w:rPr>
        <w:t xml:space="preserve">De occulta philosophia libri tres</w:t>
      </w:r>
      <w:r>
        <w:rPr>
          <w:rFonts w:ascii="EB Garamond" w:cs="EB Garamond" w:eastAsia="EB Garamond" w:hAnsi="EB Garamond"/>
          <w:i w:val="false"/>
          <w:iCs w:val="false"/>
          <w:color w:val="1F1B16"/>
          <w:sz w:val="20"/>
          <w:szCs w:val="20"/>
        </w:rPr>
        <w:t xml:space="preserve"> (D. Tyson, Ed., J. Freake, Trans., 1993). Llewellyn.</w:t>
      </w:r>
    </w:p>
    <w:p>
      <w:pPr>
        <w:spacing w:after="80"/>
        <w:ind w:left="560" w:hanging="560"/>
      </w:pPr>
      <w:r>
        <w:rPr>
          <w:rFonts w:ascii="EB Garamond" w:cs="EB Garamond" w:eastAsia="EB Garamond" w:hAnsi="EB Garamond"/>
          <w:color w:val="1F1B16"/>
          <w:sz w:val="20"/>
          <w:szCs w:val="20"/>
        </w:rPr>
        <w:t xml:space="preserve">[101]	</w:t>
      </w:r>
      <w:r>
        <w:rPr>
          <w:rFonts w:ascii="EB Garamond" w:cs="EB Garamond" w:eastAsia="EB Garamond" w:hAnsi="EB Garamond"/>
          <w:i w:val="false"/>
          <w:iCs w:val="false"/>
          <w:color w:val="1F1B16"/>
          <w:sz w:val="20"/>
          <w:szCs w:val="20"/>
        </w:rPr>
        <w:t xml:space="preserve">'Source: google images' — brain diagram, slide 64.</w:t>
      </w:r>
    </w:p>
    <w:p>
      <w:pPr>
        <w:spacing w:after="80"/>
        <w:ind w:left="560" w:hanging="560"/>
      </w:pPr>
      <w:r>
        <w:rPr>
          <w:rFonts w:ascii="EB Garamond" w:cs="EB Garamond" w:eastAsia="EB Garamond" w:hAnsi="EB Garamond"/>
          <w:color w:val="1F1B16"/>
          <w:sz w:val="20"/>
          <w:szCs w:val="20"/>
        </w:rPr>
        <w:t xml:space="preserve">[102]	</w:t>
      </w:r>
      <w:r>
        <w:rPr>
          <w:rFonts w:ascii="EB Garamond" w:cs="EB Garamond" w:eastAsia="EB Garamond" w:hAnsi="EB Garamond"/>
          <w:i w:val="false"/>
          <w:iCs w:val="false"/>
          <w:color w:val="1F1B16"/>
          <w:sz w:val="20"/>
          <w:szCs w:val="20"/>
        </w:rPr>
        <w:t xml:space="preserve">Kimura, Y., Yoshino, A., Takahashi, Y., &amp; Nomura, S. (2004). Interhemispheric difference in emotional response without awareness. </w:t>
      </w:r>
      <w:r>
        <w:rPr>
          <w:rFonts w:ascii="EB Garamond" w:cs="EB Garamond" w:eastAsia="EB Garamond" w:hAnsi="EB Garamond"/>
          <w:i/>
          <w:iCs/>
          <w:color w:val="1F1B16"/>
          <w:sz w:val="20"/>
          <w:szCs w:val="20"/>
        </w:rPr>
        <w:t xml:space="preserve">Physiology &amp; Behavior</w:t>
      </w:r>
      <w:r>
        <w:rPr>
          <w:rFonts w:ascii="EB Garamond" w:cs="EB Garamond" w:eastAsia="EB Garamond" w:hAnsi="EB Garamond"/>
          <w:i w:val="false"/>
          <w:iCs w:val="false"/>
          <w:color w:val="1F1B16"/>
          <w:sz w:val="20"/>
          <w:szCs w:val="20"/>
        </w:rPr>
        <w:t xml:space="preserve">, 82(4), 727–731.</w:t>
      </w:r>
    </w:p>
    <w:p>
      <w:pPr>
        <w:spacing w:after="80"/>
        <w:ind w:left="560" w:hanging="560"/>
      </w:pPr>
      <w:r>
        <w:rPr>
          <w:rFonts w:ascii="EB Garamond" w:cs="EB Garamond" w:eastAsia="EB Garamond" w:hAnsi="EB Garamond"/>
          <w:color w:val="1F1B16"/>
          <w:sz w:val="20"/>
          <w:szCs w:val="20"/>
        </w:rPr>
        <w:t xml:space="preserve">[103]	</w:t>
      </w:r>
      <w:r>
        <w:rPr>
          <w:rFonts w:ascii="EB Garamond" w:cs="EB Garamond" w:eastAsia="EB Garamond" w:hAnsi="EB Garamond"/>
          <w:i w:val="false"/>
          <w:iCs w:val="false"/>
          <w:color w:val="1F1B16"/>
          <w:sz w:val="20"/>
          <w:szCs w:val="20"/>
        </w:rPr>
        <w:t xml:space="preserve">Jessen, S., &amp; Grossmann, T. (2014). Unconscious discrimination of social cues from eye whites in infants. </w:t>
      </w:r>
      <w:r>
        <w:rPr>
          <w:rFonts w:ascii="EB Garamond" w:cs="EB Garamond" w:eastAsia="EB Garamond" w:hAnsi="EB Garamond"/>
          <w:i/>
          <w:iCs/>
          <w:color w:val="1F1B16"/>
          <w:sz w:val="20"/>
          <w:szCs w:val="20"/>
        </w:rPr>
        <w:t xml:space="preserve">PNAS</w:t>
      </w:r>
      <w:r>
        <w:rPr>
          <w:rFonts w:ascii="EB Garamond" w:cs="EB Garamond" w:eastAsia="EB Garamond" w:hAnsi="EB Garamond"/>
          <w:i w:val="false"/>
          <w:iCs w:val="false"/>
          <w:color w:val="1F1B16"/>
          <w:sz w:val="20"/>
          <w:szCs w:val="20"/>
        </w:rPr>
        <w:t xml:space="preserve">, 111(45), 16208–16213.</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EB Garamond" w:cs="EB Garamond" w:eastAsia="EB Garamond" w:hAnsi="EB Garamond"/>
        <w:color w:val="5F5651"/>
        <w:sz w:val="18"/>
        <w:szCs w:val="18"/>
      </w:rPr>
      <w:t xml:space="preserve">© 2026 Masen Gaspervic · Neuroastrology.net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B Garamond" w:cs="EB Garamond" w:eastAsia="EB Garamond" w:hAnsi="EB Garamond"/>
        <w:color w:val="1F1B16"/>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Georgia" w:cs="Georgia" w:eastAsia="Georgia" w:hAnsi="Georgia"/>
      <w:b/>
      <w:bCs/>
      <w:color w:val="1F1B16"/>
      <w:sz w:val="32"/>
      <w:szCs w:val="3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2026-09-17T06:18:18.133Z</dcterms:created>
  <dcterms:modified xsi:type="dcterms:W3CDTF">2026-09-17T06:18:18.142Z</dcterms:modified>
</cp:coreProperties>
</file>

<file path=docProps/custom.xml><?xml version="1.0" encoding="utf-8"?>
<Properties xmlns="http://schemas.openxmlformats.org/officeDocument/2006/custom-properties" xmlns:vt="http://schemas.openxmlformats.org/officeDocument/2006/docPropsVTypes"/>
</file>